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DevOps &amp; CI/CD for SaaS UK | ClickMasters
META DESC: DevOps &amp; CI/CD for UK SaaS. Cyber Essentials. £8,000–£80,000.
SLUG: /saas-devops-cicd/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SaaS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SaaS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DevOps &amp; CI/CD for SaaS</w:t>
      </w:r>
    </w:p>
    <w:p>
      <w:pPr>
        <w:spacing w:after="60" w:before="60"/>
      </w:pPr>
    </w:p>
    <w:p>
      <w:pPr>
        <w:pStyle w:val="Heading1"/>
        <w:spacing w:after="160" w:before="360"/>
      </w:pPr>
      <w:r>
        <w:rPr>
          <w:rFonts w:ascii="Arial" w:cs="Arial" w:eastAsia="Arial" w:hAnsi="Arial"/>
          <w:b/>
          <w:bCs/>
          <w:color w:val="0B1F3A"/>
          <w:sz w:val="40"/>
          <w:szCs w:val="40"/>
        </w:rPr>
        <w:t xml:space="preserve">DevOps &amp; CI/CD for UK SaaS — Cyber Essentials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SaaS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Cyber Essentials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£8,000–£80,000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DevOps &amp; CI/CD for UK SaaS businesses with Cyber Essentials,  FCA PS21/3 (for regulated SaaS)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DevOps &amp; CI/CD for SaaS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Multi-Tenant CI/CD Pipeline Architecture: </w:t>
      </w:r>
      <w:r>
        <w:rPr>
          <w:rFonts w:ascii="Arial" w:cs="Arial" w:eastAsia="Arial" w:hAnsi="Arial"/>
          <w:b w:val="false"/>
          <w:bCs w:val="false"/>
          <w:i w:val="false"/>
          <w:iCs w:val="false"/>
          <w:color w:val="1A2332"/>
          <w:sz w:val="22"/>
          <w:szCs w:val="22"/>
        </w:rPr>
        <w:t xml:space="preserve">SaaS CI/CD is more complex than single-tenant: deployments must not affect live tenants, database migrations must handle multiple tenant schemas simultaneously, feature flags enable per-tenant feature rollout, and smoke tests must verify representative tenant environments post-deployment. ClickMasters SaaS CI/CD: GitHub Actions with tenant-aware deployment stages, migration validation across tenant schemas, and canary deployment to a subset of tenants before full rollout.</w:t>
      </w:r>
    </w:p>
    <w:p>
      <w:pPr>
        <w:spacing w:after="60" w:before="60"/>
      </w:pPr>
    </w:p>
    <w:p>
      <w:pPr>
        <w:spacing w:after="160" w:before="100"/>
      </w:pPr>
      <w:r>
        <w:rPr>
          <w:rFonts w:ascii="Arial" w:cs="Arial" w:eastAsia="Arial" w:hAnsi="Arial"/>
          <w:b/>
          <w:bCs/>
          <w:i w:val="false"/>
          <w:iCs w:val="false"/>
          <w:color w:val="E8612A"/>
          <w:sz w:val="22"/>
          <w:szCs w:val="22"/>
        </w:rPr>
        <w:t xml:space="preserve">Zero-Downtime SaaS Deployments: </w:t>
      </w:r>
      <w:r>
        <w:rPr>
          <w:rFonts w:ascii="Arial" w:cs="Arial" w:eastAsia="Arial" w:hAnsi="Arial"/>
          <w:b w:val="false"/>
          <w:bCs w:val="false"/>
          <w:i w:val="false"/>
          <w:iCs w:val="false"/>
          <w:color w:val="1A2332"/>
          <w:sz w:val="22"/>
          <w:szCs w:val="22"/>
        </w:rPr>
        <w:t xml:space="preserve">SaaS tenants expect 99.9%+ uptime — planned downtime is commercially unacceptable. Zero-downtime deployment pattern: blue-green deployment (AWS ECS or Kubernetes deployment rollout), database migrations that are forward-compatible (additive only — no destructive migrations in the same deploy), and instant rollback capability (previous task definition or image tag).</w:t>
      </w:r>
    </w:p>
    <w:p>
      <w:pPr>
        <w:spacing w:after="60" w:before="60"/>
      </w:pPr>
    </w:p>
    <w:p>
      <w:pPr>
        <w:spacing w:after="160" w:before="100"/>
      </w:pPr>
      <w:r>
        <w:rPr>
          <w:rFonts w:ascii="Arial" w:cs="Arial" w:eastAsia="Arial" w:hAnsi="Arial"/>
          <w:b/>
          <w:bCs/>
          <w:i w:val="false"/>
          <w:iCs w:val="false"/>
          <w:color w:val="E8612A"/>
          <w:sz w:val="22"/>
          <w:szCs w:val="22"/>
        </w:rPr>
        <w:t xml:space="preserve">SaaS Observability Stack: </w:t>
      </w:r>
      <w:r>
        <w:rPr>
          <w:rFonts w:ascii="Arial" w:cs="Arial" w:eastAsia="Arial" w:hAnsi="Arial"/>
          <w:b w:val="false"/>
          <w:bCs w:val="false"/>
          <w:i w:val="false"/>
          <w:iCs w:val="false"/>
          <w:color w:val="1A2332"/>
          <w:sz w:val="22"/>
          <w:szCs w:val="22"/>
        </w:rPr>
        <w:t xml:space="preserve">SaaS DevOps requires per-tenant observability: error rate per tenant (a bug affecting one tenant should not be masked by healthy traffic from other tenants), latency per tenant (a slow tenant should be identifiable), and usage dashboards per tenant (for billing and capacity planning). ClickMasters SaaS observability: Datadog or CloudWatch with tenant_id dimension on all metrics, structured logging with tenant_id, and alerting thresholds per tenant tier.</w:t>
      </w:r>
    </w:p>
    <w:p>
      <w:pPr>
        <w:spacing w:after="60" w:before="60"/>
      </w:pPr>
    </w:p>
    <w:p>
      <w:pPr>
        <w:spacing w:after="160" w:before="100"/>
      </w:pPr>
      <w:r>
        <w:rPr>
          <w:rFonts w:ascii="Arial" w:cs="Arial" w:eastAsia="Arial" w:hAnsi="Arial"/>
          <w:b/>
          <w:bCs/>
          <w:i w:val="false"/>
          <w:iCs w:val="false"/>
          <w:color w:val="E8612A"/>
          <w:sz w:val="22"/>
          <w:szCs w:val="22"/>
        </w:rPr>
        <w:t xml:space="preserve">FCA PS21/3 SaaS Deployment Governance: </w:t>
      </w:r>
      <w:r>
        <w:rPr>
          <w:rFonts w:ascii="Arial" w:cs="Arial" w:eastAsia="Arial" w:hAnsi="Arial"/>
          <w:b w:val="false"/>
          <w:bCs w:val="false"/>
          <w:i w:val="false"/>
          <w:iCs w:val="false"/>
          <w:color w:val="1A2332"/>
          <w:sz w:val="22"/>
          <w:szCs w:val="22"/>
        </w:rPr>
        <w:t xml:space="preserve">For FCA-regulated SaaS: change management applies to deployments. FCA PS21/3 operational resilience: all changes to production must be documented, tested, and have rollback plans. CI/CD pipeline as governance evidence: every deployment has a commit hash, automated test pass evidence, deployment approval (pull request merge), and rollback procedure. FCA expect deployment frequency and rollback capability data.</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Cyber Essentials, FCA PS21/3 (for regulated SaaS), UK GDPR, multi-tenant CI/CD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SaaS DevOps &amp; CI/CD</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£8,000–£80,000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Support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we implement zero-downtime deployments for a UK SaaS product?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Zero-downtime deployment requires: blue-green or rolling deployment (never in-place replace), backward-compatible database migrations (additive columns, never drop/rename in same deploy), feature flags for risky changes (enable per tenant, not global flip), and smoke tests post-deploy (automated health check before old version teardown). AWS ECS Fargate: CodeDeploy blue-green deployment handles this out of the box.</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observability does a UK SaaS product need for FCA or enterprise clients?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Enterprise and FCA clients will ask for: uptime SLA evidence (monthly report from monitoring), incident response time metrics (mean time to acknowledge, mean time to resolve), change frequency and failure rate (DORA metrics), and data residency confirmation. ClickMasters SaaS DevOps includes: StatusPage or equivalent for SLA reporting, PagerDuty for incident management, and DORA metrics dashboard.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SaaS Development UK: /saas-development/</w:t>
      </w:r>
    </w:p>
    <w:p>
      <w:pPr>
        <w:pStyle w:val="ListParagraph"/>
        <w:numPr>
          <w:ilvl w:val="0"/>
          <w:numId w:val="2"/>
        </w:numPr>
        <w:spacing w:after="60" w:before="60"/>
      </w:pPr>
      <w:r>
        <w:rPr>
          <w:rFonts w:ascii="Arial" w:cs="Arial" w:eastAsia="Arial" w:hAnsi="Arial"/>
          <w:color w:val="1A4A8A"/>
          <w:sz w:val="22"/>
          <w:szCs w:val="22"/>
        </w:rPr>
        <w:t xml:space="preserve">DevOps &amp; CI/CD UK: /devops-cicd/</w:t>
      </w:r>
    </w:p>
    <w:p>
      <w:pPr>
        <w:pStyle w:val="ListParagraph"/>
        <w:numPr>
          <w:ilvl w:val="0"/>
          <w:numId w:val="2"/>
        </w:numPr>
        <w:spacing w:after="60" w:before="60"/>
      </w:pPr>
      <w:r>
        <w:rPr>
          <w:rFonts w:ascii="Arial" w:cs="Arial" w:eastAsia="Arial" w:hAnsi="Arial"/>
          <w:color w:val="1A4A8A"/>
          <w:sz w:val="22"/>
          <w:szCs w:val="22"/>
        </w:rPr>
        <w:t xml:space="preserve">FCA Software Compliance Guide: /fca-software-compliance-guide/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SaaS DevOps &amp; CI/CD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SaaS Team</w:t>
            </w:r>
          </w:p>
          <w:p>
            <w:pPr>
              <w:spacing w:after="80" w:before="0"/>
            </w:pPr>
            <w:r>
              <w:rPr>
                <w:rFonts w:ascii="Arial" w:cs="Arial" w:eastAsia="Arial" w:hAnsi="Arial"/>
                <w:b/>
                <w:bCs/>
                <w:color w:val="E8612A"/>
                <w:sz w:val="20"/>
                <w:szCs w:val="20"/>
              </w:rPr>
              <w:t xml:space="preserve">SaaS specialists</w:t>
            </w:r>
          </w:p>
          <w:p>
            <w:pPr>
              <w:spacing w:after="0" w:before="0"/>
            </w:pPr>
            <w:r>
              <w:rPr>
                <w:rFonts w:ascii="Arial" w:cs="Arial" w:eastAsia="Arial" w:hAnsi="Arial"/>
                <w:color w:val="1A2332"/>
                <w:sz w:val="20"/>
                <w:szCs w:val="20"/>
              </w:rPr>
              <w:t xml:space="preserve">Delivering DevOps &amp; CI/CD for UK SaaS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"saas devops cicd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2026-05-26T14:36:09.942Z</dcterms:created>
  <dcterms:modified xsi:type="dcterms:W3CDTF">2026-05-26T14:36:09.942Z</dcterms:modified>
</cp:coreProperties>
</file>

<file path=docProps/custom.xml><?xml version="1.0" encoding="utf-8"?>
<Properties xmlns="http://schemas.openxmlformats.org/officeDocument/2006/custom-properties" xmlns:vt="http://schemas.openxmlformats.org/officeDocument/2006/docPropsVTypes"/>
</file>