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Antwerp | UK Agency | ClickMasters
META DESC: Custom software for Antwerp. EU GDPR. UK-based.
SLUG: /custom-software-development-antwerp/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Antwerp</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Antwerp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Antwerp</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Belgium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Antwerp and Belgium with EU GDPR compliance. Belgian GBA (Gegevensbeschermingsautoriteit)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Antwerp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Antwerp is Belgium's largest port city and a significant technology hub for logistics technology, diamond trading technology, and enterprise software. The city has strong engineering universities (University of Antwerp) and an active startup ecosystem. Antwerp is particularly strong in supply chain, trade finance, and industrial digitalisation.</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Port of Antwerp-Bruges Digital, Agfa-Gevaert (imaging technology), Proximus Antwerp Tech, Diamanti (diamond trading software), Sana Commerce HQ (B2B eCommerce), In The Pocket (digital product agency), Teamleader HQ (SME CRM/ERP)</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Belgian DPA (GBA) enforces GDPR. Antwerp is EU — UK GDPR transfers covered by UK-EU adequacy. Belgium has a complex language environment (Dutch/French) that can affect software localisation. GBA is active in GDPR enforcement — strong compliance culture in Antwerp business community.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Antwerp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Antwerp</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antwerp"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2026-05-26T21:05:19.509Z</dcterms:created>
  <dcterms:modified xsi:type="dcterms:W3CDTF">2026-05-26T21:05:19.509Z</dcterms:modified>
</cp:coreProperties>
</file>

<file path=docProps/custom.xml><?xml version="1.0" encoding="utf-8"?>
<Properties xmlns="http://schemas.openxmlformats.org/officeDocument/2006/custom-properties" xmlns:vt="http://schemas.openxmlformats.org/officeDocument/2006/docPropsVTypes"/>
</file>