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Benefits Fraud Detection Platform — UK Local Authority — ClickMasters Case Study
META DESC: A UK local authority with £94M annual Housing Benefit expenditure needed to upgrade their fraud detection capa...
SLUG: /case-studies/govtech-benefits-fraud-detection/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Benefits Fraud Detection Platform — UK Local Authority</w:t>
      </w:r>
    </w:p>
    <w:p>
      <w:pPr>
        <w:spacing w:after="60" w:before="60"/>
      </w:pPr>
    </w:p>
    <w:p>
      <w:pPr>
        <w:pStyle w:val="Heading1"/>
        <w:spacing w:after="160" w:before="360"/>
      </w:pPr>
      <w:r>
        <w:rPr>
          <w:rFonts w:ascii="Arial" w:cs="Arial" w:eastAsia="Arial" w:hAnsi="Arial"/>
          <w:b/>
          <w:bCs/>
          <w:color w:val="0B1F3A"/>
          <w:sz w:val="40"/>
          <w:szCs w:val="40"/>
        </w:rPr>
        <w:t xml:space="preserve">GovTech Benefits Fraud Detection Platform — UK Local Authority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GovTech / Counter-Fraud</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GovTech / Counter-Fraud | Tech: Python/FastAPI, PostgreSQL, React, XGBoost (scikit-learn), DWP NFI data, HMRC PAYE data, Companies House API, AWS eu-west-2 | Compliance: UK GDPR Article 6(1)(e), ICO Data Matching guidance, CIPFA Counter-Fraud Standards, Social Security Administration Act 1992,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local authority with £94M annual Housing Benefit expenditure needed to upgrade their fraud detection capability. The legacy system (manual investigator-driven referrals) identified 240 fraud cases per year. The new platform needed: data matching against DWP, HMRC, and Companies House, ML anomaly detection on benefit claims, and investigator case management. UK GDPR Article 6(1)(e) public task basis, ICO guidance on data matching in the public sector, and CIPFA (Chartered Institute of Public Finance and Accountancy) counter-fraud standards were mandatory. Budget: £75,000.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Data Matching Integration: </w:t>
      </w:r>
      <w:r>
        <w:rPr>
          <w:rFonts w:ascii="Arial" w:cs="Arial" w:eastAsia="Arial" w:hAnsi="Arial"/>
          <w:b w:val="false"/>
          <w:bCs w:val="false"/>
          <w:i w:val="false"/>
          <w:iCs w:val="false"/>
          <w:color w:val="1A2332"/>
          <w:sz w:val="22"/>
          <w:szCs w:val="22"/>
        </w:rPr>
        <w:t xml:space="preserve">DWP data match: National Fraud Initiative (NFI) — CIPFA-administered data matching exercise (biannual). HMRC PAYE data match: employed claimants with employment income not declared. Companies House data match: claimants who are company directors (undeclared income). Local authority own data: council tax records (number of occupants cross-referenced against single person discount and occupant declarations).</w:t>
      </w:r>
    </w:p>
    <w:p>
      <w:pPr>
        <w:spacing w:after="160" w:before="100"/>
      </w:pPr>
      <w:r>
        <w:rPr>
          <w:rFonts w:ascii="Arial" w:cs="Arial" w:eastAsia="Arial" w:hAnsi="Arial"/>
          <w:b/>
          <w:bCs/>
          <w:i w:val="false"/>
          <w:iCs w:val="false"/>
          <w:color w:val="E8612A"/>
          <w:sz w:val="22"/>
          <w:szCs w:val="22"/>
        </w:rPr>
        <w:t xml:space="preserve">ML Anomaly Detection: </w:t>
      </w:r>
      <w:r>
        <w:rPr>
          <w:rFonts w:ascii="Arial" w:cs="Arial" w:eastAsia="Arial" w:hAnsi="Arial"/>
          <w:b w:val="false"/>
          <w:bCs w:val="false"/>
          <w:i w:val="false"/>
          <w:iCs w:val="false"/>
          <w:color w:val="1A2332"/>
          <w:sz w:val="22"/>
          <w:szCs w:val="22"/>
        </w:rPr>
        <w:t xml:space="preserve">Gradient boosting model (XGBoost, Python scikit-learn): trained on 3 years of historical fraud investigations. Features: claim age, benefit amount vs area median, address change frequency, employment history gaps, number of address co-habitants (council tax cross-reference). Anomaly score: 0–100 risk score per claim. High-risk threshold: claims scoring &gt; 75 sent to investigator queue. Model recalibrated quarterly.</w:t>
      </w:r>
    </w:p>
    <w:p>
      <w:pPr>
        <w:spacing w:after="160" w:before="100"/>
      </w:pPr>
      <w:r>
        <w:rPr>
          <w:rFonts w:ascii="Arial" w:cs="Arial" w:eastAsia="Arial" w:hAnsi="Arial"/>
          <w:b/>
          <w:bCs/>
          <w:i w:val="false"/>
          <w:iCs w:val="false"/>
          <w:color w:val="E8612A"/>
          <w:sz w:val="22"/>
          <w:szCs w:val="22"/>
        </w:rPr>
        <w:t xml:space="preserve">UK GDPR Public Task and ICO Guidance: </w:t>
      </w:r>
      <w:r>
        <w:rPr>
          <w:rFonts w:ascii="Arial" w:cs="Arial" w:eastAsia="Arial" w:hAnsi="Arial"/>
          <w:b w:val="false"/>
          <w:bCs w:val="false"/>
          <w:i w:val="false"/>
          <w:iCs w:val="false"/>
          <w:color w:val="1A2332"/>
          <w:sz w:val="22"/>
          <w:szCs w:val="22"/>
        </w:rPr>
        <w:t xml:space="preserve">ICO Guidance on Data Matching in the Public Sector: local authorities have explicit statutory powers for benefit fraud detection (Social Security Administration Act 1992, Housing Act 1996). Article 6(1)(e) public task basis. Proportionality: data matching only for Housing Benefit fraud detection — no broader profiling. Transparency: privacy notice updated to describe data matching activities. Automated decision-making: ML anomaly score is investigator support only — no automated sanction without human investigation.</w:t>
      </w:r>
    </w:p>
    <w:p>
      <w:pPr>
        <w:spacing w:after="160" w:before="100"/>
      </w:pPr>
      <w:r>
        <w:rPr>
          <w:rFonts w:ascii="Arial" w:cs="Arial" w:eastAsia="Arial" w:hAnsi="Arial"/>
          <w:b/>
          <w:bCs/>
          <w:i w:val="false"/>
          <w:iCs w:val="false"/>
          <w:color w:val="E8612A"/>
          <w:sz w:val="22"/>
          <w:szCs w:val="22"/>
        </w:rPr>
        <w:t xml:space="preserve">CIPFA Counter-Fraud Standards: </w:t>
      </w:r>
      <w:r>
        <w:rPr>
          <w:rFonts w:ascii="Arial" w:cs="Arial" w:eastAsia="Arial" w:hAnsi="Arial"/>
          <w:b w:val="false"/>
          <w:bCs w:val="false"/>
          <w:i w:val="false"/>
          <w:iCs w:val="false"/>
          <w:color w:val="1A2332"/>
          <w:sz w:val="22"/>
          <w:szCs w:val="22"/>
        </w:rPr>
        <w:t xml:space="preserve">CIPFA Fraud and Corruption Tracker: platform generates data for annual counter-fraud return. Investigation case management: evidence collection, witness statements, prosecution referral tracking. Overpayment recovery: automated calculation of overpayment amount and penalty for prosecuted cases. Sanction tracking: caution, prosecution, administrative penalty — CIPFA reporting categories.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14 weeks, £68,000 — under budget. Fraud cases identified: 240 (legacy) → 680 per year (ML model + data matching). Overpayment recovery: £1.2M additional recoveries in first year. False positive investigation rate: 34% (ML referrals requiring investigation but not confirmed as fraud — acceptable in counter-fraud context). ICO audit: data matching activities reviewed and confirmed compliant. CIPFA counter-fraud return: automated for first time.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"£1.2M additional recoveries in the first year — 16x the cost of the platform. 680 cases versus 240. The ICO audit confirmed our data matching was compliant. The ML model's 34% false positive rate sounds high but in counter-fraud it means 66% of investigated cases resulted in confirmed fraud — that is an excellent yield." — Counter-Fraud Manager, UK Local Authority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Python/FastAPI, PostgreSQL, React, XGBoost (scikit-learn), DWP NFI data, HMRC PAYE data, Companies House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Article 6(1)(e), ICO Data Matching guidance, CIPFA Counter-Fraud Standards, Social Security Administration Act 1992,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govtech benefits fraud detection uk, housing benefit fraud software uk, counter fraud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2026-05-28T08:51:40.391Z</dcterms:created>
  <dcterms:modified xsi:type="dcterms:W3CDTF">2026-05-28T08:51:40.391Z</dcterms:modified>
</cp:coreProperties>
</file>

<file path=docProps/custom.xml><?xml version="1.0" encoding="utf-8"?>
<Properties xmlns="http://schemas.openxmlformats.org/officeDocument/2006/custom-properties" xmlns:vt="http://schemas.openxmlformats.org/officeDocument/2006/docPropsVTypes"/>
</file>