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Fixed Price vs Time and Materials Software Contract UK — Complete Guide 2025 | ClickMasters
META DESC: Fixed price vs T&amp;M software development contracts UK. What to look for, red flags, contract terms. ClickMasters offers fixed-price Agile with full IP transfer.
SLUG: /fixed-price-vs-time-materials-software-contract-uk/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James Whitmore, CTO  |  Reviewed by: ClickMasters Legal Team</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Fixed Price vs T&amp;M Software Contract Guide UK</w:t>
      </w:r>
    </w:p>
    <w:p>
      <w:pPr>
        <w:spacing w:after="60" w:before="60"/>
      </w:pPr>
    </w:p>
    <w:p>
      <w:pPr>
        <w:pStyle w:val="Heading1"/>
        <w:spacing w:after="160" w:before="360"/>
      </w:pPr>
      <w:r>
        <w:rPr>
          <w:rFonts w:ascii="Arial" w:cs="Arial" w:eastAsia="Arial" w:hAnsi="Arial"/>
          <w:b/>
          <w:bCs/>
          <w:color w:val="0B1F3A"/>
          <w:sz w:val="40"/>
          <w:szCs w:val="40"/>
        </w:rPr>
        <w:t xml:space="preserve">Fixed Price vs Time and Materials Software Contract UK — Complete Guide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Contract Terms</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IP Transfer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Proposal</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Fixed-price software development contracts give UK buyers cost certainty and shift delivery risk to the agency. Time-and-Materials (T&amp;M) contracts shift all cost risk to the buyer — every change, every delay, every re-estimate increases cost with no ceiling. ClickMasters offers fixed-price Agile for all delivery phases, with full IP transfer at handover.</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This guide is written for UK business owners, IT directors, and CTOs who are procuring software development. It explains the contract models, red flags to avoid, and the questions to ask before signing.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Red Flags in UK Software Development Contracts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Red Flag</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It Means</w:t>
            </w:r>
          </w:p>
        </w:tc>
        <w:tc>
          <w:tcPr>
            <w:tcW w:type="dxa" w:w="34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What to Insist On</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T&amp;M for a defined project</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Agency avoids cost commitment — you bear all risk</w:t>
            </w:r>
          </w:p>
        </w:tc>
        <w:tc>
          <w:tcPr>
            <w:tcW w:type="dxa" w:w="3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Insist on fixed price after Technical Discovery</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 IP transfer clause</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Agency retains IP — you are licensing, not owning</w:t>
            </w:r>
          </w:p>
        </w:tc>
        <w:tc>
          <w:tcPr>
            <w:tcW w:type="dxa" w:w="3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IP assigned to you on final payment</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Unlimited scope change process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Changes billed without approval — costs can spiral</w:t>
            </w:r>
          </w:p>
        </w:tc>
        <w:tc>
          <w:tcPr>
            <w:tcW w:type="dxa" w:w="3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Written Change Request process with approval before billing</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 sprint demos</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visibility until end of project</w:t>
            </w:r>
          </w:p>
        </w:tc>
        <w:tc>
          <w:tcPr>
            <w:tcW w:type="dxa" w:w="3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Fortnightly sprint demos — demo or it didn't happen</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Source code in escrow only</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cannot access code if agency disappears</w:t>
            </w:r>
          </w:p>
        </w:tc>
        <w:tc>
          <w:tcPr>
            <w:tcW w:type="dxa" w:w="3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Source code in client-accessible repository from Day 1</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Payment tied to final delivery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Agency incentivised to delay final delivery for cash</w:t>
            </w:r>
          </w:p>
        </w:tc>
        <w:tc>
          <w:tcPr>
            <w:tcW w:type="dxa" w:w="3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Milestone-based payment (e.g., 30% / 40% / 30%)</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 exit clause</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Locked in if relationship breaks down</w:t>
            </w:r>
          </w:p>
        </w:tc>
        <w:tc>
          <w:tcPr>
            <w:tcW w:type="dxa" w:w="34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Termination for convenience clause (4-week notice)</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Vague IP definition</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Disputes over what "IP" includes</w:t>
            </w:r>
          </w:p>
        </w:tc>
        <w:tc>
          <w:tcPr>
            <w:tcW w:type="dxa" w:w="34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code, documentation, designs, database schemas — specific list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Essential Contract Terms for UK Software Development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Every UK software development contract should include:</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Scope of Work: detailed specification (from Technical Discovery) — what is in scope, what is explicitly out of scope.</w:t>
      </w:r>
    </w:p>
    <w:p>
      <w:pPr>
        <w:pStyle w:val="ListParagraph"/>
        <w:numPr>
          <w:ilvl w:val="0"/>
          <w:numId w:val="2"/>
        </w:numPr>
        <w:spacing w:after="60" w:before="60"/>
      </w:pPr>
      <w:r>
        <w:rPr>
          <w:rFonts w:ascii="Arial" w:cs="Arial" w:eastAsia="Arial" w:hAnsi="Arial"/>
          <w:color w:val="1A2332"/>
          <w:sz w:val="22"/>
          <w:szCs w:val="22"/>
        </w:rPr>
        <w:t xml:space="preserve">Fixed Price: total price, payment milestones, and what triggers each milestone payment.</w:t>
      </w:r>
    </w:p>
    <w:p>
      <w:pPr>
        <w:pStyle w:val="ListParagraph"/>
        <w:numPr>
          <w:ilvl w:val="0"/>
          <w:numId w:val="2"/>
        </w:numPr>
        <w:spacing w:after="60" w:before="60"/>
      </w:pPr>
      <w:r>
        <w:rPr>
          <w:rFonts w:ascii="Arial" w:cs="Arial" w:eastAsia="Arial" w:hAnsi="Arial"/>
          <w:color w:val="1A2332"/>
          <w:sz w:val="22"/>
          <w:szCs w:val="22"/>
        </w:rPr>
        <w:t xml:space="preserve">Change Request process: any change outside the Scope of Work requires written CR, estimated cost, approval before billing.</w:t>
      </w:r>
    </w:p>
    <w:p>
      <w:pPr>
        <w:pStyle w:val="ListParagraph"/>
        <w:numPr>
          <w:ilvl w:val="0"/>
          <w:numId w:val="2"/>
        </w:numPr>
        <w:spacing w:after="60" w:before="60"/>
      </w:pPr>
      <w:r>
        <w:rPr>
          <w:rFonts w:ascii="Arial" w:cs="Arial" w:eastAsia="Arial" w:hAnsi="Arial"/>
          <w:color w:val="1A2332"/>
          <w:sz w:val="22"/>
          <w:szCs w:val="22"/>
        </w:rPr>
        <w:t xml:space="preserve">IP assignment: all intellectual property (code, designs, documentation, data schemas) assigned to the client on final payment. Not licensed — assigned.</w:t>
      </w:r>
    </w:p>
    <w:p>
      <w:pPr>
        <w:pStyle w:val="ListParagraph"/>
        <w:numPr>
          <w:ilvl w:val="0"/>
          <w:numId w:val="2"/>
        </w:numPr>
        <w:spacing w:after="60" w:before="60"/>
      </w:pPr>
      <w:r>
        <w:rPr>
          <w:rFonts w:ascii="Arial" w:cs="Arial" w:eastAsia="Arial" w:hAnsi="Arial"/>
          <w:color w:val="1A2332"/>
          <w:sz w:val="22"/>
          <w:szCs w:val="22"/>
        </w:rPr>
        <w:t xml:space="preserve">Source code access: client has access to source code repository from Day 1 — not locked in agency repository.</w:t>
      </w:r>
    </w:p>
    <w:p>
      <w:pPr>
        <w:pStyle w:val="ListParagraph"/>
        <w:numPr>
          <w:ilvl w:val="0"/>
          <w:numId w:val="2"/>
        </w:numPr>
        <w:spacing w:after="60" w:before="60"/>
      </w:pPr>
      <w:r>
        <w:rPr>
          <w:rFonts w:ascii="Arial" w:cs="Arial" w:eastAsia="Arial" w:hAnsi="Arial"/>
          <w:color w:val="1A2332"/>
          <w:sz w:val="22"/>
          <w:szCs w:val="22"/>
        </w:rPr>
        <w:t xml:space="preserve">Handover: structured handover — documentation, deployment runbooks, and knowledge transfer sessions.</w:t>
      </w:r>
    </w:p>
    <w:p>
      <w:pPr>
        <w:pStyle w:val="ListParagraph"/>
        <w:numPr>
          <w:ilvl w:val="0"/>
          <w:numId w:val="2"/>
        </w:numPr>
        <w:spacing w:after="60" w:before="60"/>
      </w:pPr>
      <w:r>
        <w:rPr>
          <w:rFonts w:ascii="Arial" w:cs="Arial" w:eastAsia="Arial" w:hAnsi="Arial"/>
          <w:color w:val="1A2332"/>
          <w:sz w:val="22"/>
          <w:szCs w:val="22"/>
        </w:rPr>
        <w:t xml:space="preserve">UK GDPR / data processing: Data Processing Agreement if agency processes personal data. Sub-processor list.</w:t>
      </w:r>
    </w:p>
    <w:p>
      <w:pPr>
        <w:pStyle w:val="ListParagraph"/>
        <w:numPr>
          <w:ilvl w:val="0"/>
          <w:numId w:val="2"/>
        </w:numPr>
        <w:spacing w:after="60" w:before="60"/>
      </w:pPr>
      <w:r>
        <w:rPr>
          <w:rFonts w:ascii="Arial" w:cs="Arial" w:eastAsia="Arial" w:hAnsi="Arial"/>
          <w:color w:val="1A2332"/>
          <w:sz w:val="22"/>
          <w:szCs w:val="22"/>
        </w:rPr>
        <w:t xml:space="preserve">Termination for convenience: client can terminate with 4 weeks notice, paying for work completed to date.</w:t>
      </w:r>
    </w:p>
    <w:p>
      <w:pPr>
        <w:pStyle w:val="ListParagraph"/>
        <w:numPr>
          <w:ilvl w:val="0"/>
          <w:numId w:val="2"/>
        </w:numPr>
        <w:spacing w:after="60" w:before="60"/>
      </w:pPr>
      <w:r>
        <w:rPr>
          <w:rFonts w:ascii="Arial" w:cs="Arial" w:eastAsia="Arial" w:hAnsi="Arial"/>
          <w:color w:val="1A2332"/>
          <w:sz w:val="22"/>
          <w:szCs w:val="22"/>
        </w:rPr>
        <w:t xml:space="preserve">Jurisdiction: English law, English courts.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ClickMasters Fixed-Price Contracts Work</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ClickMasters fixed-price Agile process:</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Technical Discovery (fixed fee: £3,500–£8,000): 2 weeks. Output: detailed specification, UI wireframes, architecture design, and a fixed-price proposal.</w:t>
      </w:r>
    </w:p>
    <w:p>
      <w:pPr>
        <w:pStyle w:val="ListParagraph"/>
        <w:numPr>
          <w:ilvl w:val="0"/>
          <w:numId w:val="2"/>
        </w:numPr>
        <w:spacing w:after="60" w:before="60"/>
      </w:pPr>
      <w:r>
        <w:rPr>
          <w:rFonts w:ascii="Arial" w:cs="Arial" w:eastAsia="Arial" w:hAnsi="Arial"/>
          <w:color w:val="1A2332"/>
          <w:sz w:val="22"/>
          <w:szCs w:val="22"/>
        </w:rPr>
        <w:t xml:space="preserve">Fixed-price proposal: total delivery cost, payment milestones, sprint plan, and risk register.</w:t>
      </w:r>
    </w:p>
    <w:p>
      <w:pPr>
        <w:pStyle w:val="ListParagraph"/>
        <w:numPr>
          <w:ilvl w:val="0"/>
          <w:numId w:val="2"/>
        </w:numPr>
        <w:spacing w:after="60" w:before="60"/>
      </w:pPr>
      <w:r>
        <w:rPr>
          <w:rFonts w:ascii="Arial" w:cs="Arial" w:eastAsia="Arial" w:hAnsi="Arial"/>
          <w:color w:val="1A2332"/>
          <w:sz w:val="22"/>
          <w:szCs w:val="22"/>
        </w:rPr>
        <w:t xml:space="preserve">Sprint delivery: 2-week sprints, demo every sprint, sprint retrospective, sprint planning. Client attends demos.</w:t>
      </w:r>
    </w:p>
    <w:p>
      <w:pPr>
        <w:pStyle w:val="ListParagraph"/>
        <w:numPr>
          <w:ilvl w:val="0"/>
          <w:numId w:val="2"/>
        </w:numPr>
        <w:spacing w:after="60" w:before="60"/>
      </w:pPr>
      <w:r>
        <w:rPr>
          <w:rFonts w:ascii="Arial" w:cs="Arial" w:eastAsia="Arial" w:hAnsi="Arial"/>
          <w:color w:val="1A2332"/>
          <w:sz w:val="22"/>
          <w:szCs w:val="22"/>
        </w:rPr>
        <w:t xml:space="preserve">Change Requests: any addition to agreed scope → written CR → estimate → approval → billing. No surprise invoices.</w:t>
      </w:r>
    </w:p>
    <w:p>
      <w:pPr>
        <w:pStyle w:val="ListParagraph"/>
        <w:numPr>
          <w:ilvl w:val="0"/>
          <w:numId w:val="2"/>
        </w:numPr>
        <w:spacing w:after="60" w:before="60"/>
      </w:pPr>
      <w:r>
        <w:rPr>
          <w:rFonts w:ascii="Arial" w:cs="Arial" w:eastAsia="Arial" w:hAnsi="Arial"/>
          <w:color w:val="1A2332"/>
          <w:sz w:val="22"/>
          <w:szCs w:val="22"/>
        </w:rPr>
        <w:t xml:space="preserve">IP transfer: all IP assigned to client in the contract and confirmed at handover via IP transfer schedule.</w:t>
      </w:r>
    </w:p>
    <w:p>
      <w:pPr>
        <w:pStyle w:val="ListParagraph"/>
        <w:numPr>
          <w:ilvl w:val="0"/>
          <w:numId w:val="2"/>
        </w:numPr>
        <w:spacing w:after="60" w:before="60"/>
      </w:pPr>
      <w:r>
        <w:rPr>
          <w:rFonts w:ascii="Arial" w:cs="Arial" w:eastAsia="Arial" w:hAnsi="Arial"/>
          <w:color w:val="1A2332"/>
          <w:sz w:val="22"/>
          <w:szCs w:val="22"/>
        </w:rPr>
        <w:t xml:space="preserve">Handover: deployment runbooks, architecture documentation, infrastructure access, and 2× knowledge transfer sessions.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a fixed-price project goes over budget?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Under a fixed-price contract: the agency absorbs the over-run. If ClickMasters estimates 12 sprints and it takes 14: ClickMasters delivers the agreed scope within the agreed price. The only way the client pays more is if they request additional scope (via Change Request). This is the fundamental advantage of fixed-price — delivery risk sits with ClickMasters, not the client.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ClickMasters guarantee the price will not change?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the agreed scope: yes. The price for the agreed Scope of Work is fixed. If the client requests changes (new features, changes to agreed functionality, new integrations), these are costed via Change Request and approved before billing. The original scope price does not change. This is why Technical Discovery is so important — the better the specification, the fewer Change Requests.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Who owns the code if I use ClickMasters?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client owns all intellectual property — code, designs, database schemas, documentation — outright, from the moment of final payment. This is an assignment, not a licence. ClickMasters retains no rights to the code. The client can modify it, sell it, or hand it to another agency.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How Much Does Software Development Cost UK: /how-much-does-software-development-cost-uk/</w:t>
      </w:r>
    </w:p>
    <w:p>
      <w:pPr>
        <w:pStyle w:val="ListParagraph"/>
        <w:numPr>
          <w:ilvl w:val="0"/>
          <w:numId w:val="3"/>
        </w:numPr>
        <w:spacing w:after="60" w:before="60"/>
      </w:pPr>
      <w:r>
        <w:rPr>
          <w:rFonts w:ascii="Arial" w:cs="Arial" w:eastAsia="Arial" w:hAnsi="Arial"/>
          <w:color w:val="1A4A8A"/>
          <w:sz w:val="22"/>
          <w:szCs w:val="22"/>
        </w:rPr>
        <w:t xml:space="preserve">Agency vs Freelancer vs In-House UK: /agency-vs-freelancer-vs-in-house-uk-2025/</w:t>
      </w:r>
    </w:p>
    <w:p>
      <w:pPr>
        <w:pStyle w:val="ListParagraph"/>
        <w:numPr>
          <w:ilvl w:val="0"/>
          <w:numId w:val="3"/>
        </w:numPr>
        <w:spacing w:after="60" w:before="60"/>
      </w:pPr>
      <w:r>
        <w:rPr>
          <w:rFonts w:ascii="Arial" w:cs="Arial" w:eastAsia="Arial" w:hAnsi="Arial"/>
          <w:color w:val="1A4A8A"/>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Fixed-Price Software Proposal</w:t>
            </w:r>
          </w:p>
          <w:p>
            <w:pPr>
              <w:spacing w:after="160" w:before="0"/>
            </w:pPr>
            <w:r>
              <w:rPr>
                <w:rFonts w:ascii="Arial" w:cs="Arial" w:eastAsia="Arial" w:hAnsi="Arial"/>
                <w:color w:val="BDD0E8"/>
                <w:sz w:val="22"/>
                <w:szCs w:val="22"/>
              </w:rPr>
              <w:t xml:space="preserve">Book a 45-minute consultation. We'll scope your project and provide a transparent fixed price.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James Whitmore, CTO</w:t>
            </w:r>
          </w:p>
          <w:p>
            <w:pPr>
              <w:spacing w:after="80" w:before="0"/>
            </w:pPr>
            <w:r>
              <w:rPr>
                <w:rFonts w:ascii="Arial" w:cs="Arial" w:eastAsia="Arial" w:hAnsi="Arial"/>
                <w:b/>
                <w:bCs/>
                <w:color w:val="E8612A"/>
                <w:sz w:val="20"/>
                <w:szCs w:val="20"/>
              </w:rPr>
              <w:t xml:space="preserve">ClickMasters fixed-price Agile delivery specialist</w:t>
            </w:r>
          </w:p>
          <w:p>
            <w:pPr>
              <w:spacing w:after="0" w:before="0"/>
            </w:pPr>
            <w:r>
              <w:rPr>
                <w:rFonts w:ascii="Arial" w:cs="Arial" w:eastAsia="Arial" w:hAnsi="Arial"/>
                <w:color w:val="1A2332"/>
                <w:sz w:val="20"/>
                <w:szCs w:val="20"/>
              </w:rPr>
              <w:t xml:space="preserve">This guide is for information purposes only. Consult a solicitor for legal advice on your specific contract.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"fixed price vs time and materials software uk"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2026-05-28T08:51:40.644Z</dcterms:created>
  <dcterms:modified xsi:type="dcterms:W3CDTF">2026-05-28T08:51:40.644Z</dcterms:modified>
</cp:coreProperties>
</file>

<file path=docProps/custom.xml><?xml version="1.0" encoding="utf-8"?>
<Properties xmlns="http://schemas.openxmlformats.org/officeDocument/2006/custom-properties" xmlns:vt="http://schemas.openxmlformats.org/officeDocument/2006/docPropsVTypes"/>
</file>