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Cloud-Native Development for AI UK | ClickMasters
META DESC: Cloud-Native Development for UK AI. UK GDPR Article 22. £25,000–£200,000.
SLUG: /ai-cloud-native-development/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AI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AI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Cloud-Native Development for AI</w:t>
      </w:r>
    </w:p>
    <w:p>
      <w:pPr>
        <w:spacing w:after="60" w:before="60"/>
      </w:pPr>
    </w:p>
    <w:p>
      <w:pPr>
        <w:pStyle w:val="Heading1"/>
        <w:spacing w:after="160" w:before="360"/>
      </w:pPr>
      <w:r>
        <w:rPr>
          <w:rFonts w:ascii="Arial" w:cs="Arial" w:eastAsia="Arial" w:hAnsi="Arial"/>
          <w:b/>
          <w:bCs/>
          <w:color w:val="0B1F3A"/>
          <w:sz w:val="40"/>
          <w:szCs w:val="40"/>
        </w:rPr>
        <w:t xml:space="preserve">Cloud-Native Development for UK AI — UK GDPR Article 22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AI</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 Article 22</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£25,000–£200,000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Cloud-Native Development for UK AI businesses with UK GDPR Article 22,  ICO AI guidance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Cloud-Native Development for AI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ML Model Serving on AWS: </w:t>
      </w:r>
      <w:r>
        <w:rPr>
          <w:rFonts w:ascii="Arial" w:cs="Arial" w:eastAsia="Arial" w:hAnsi="Arial"/>
          <w:b w:val="false"/>
          <w:bCs w:val="false"/>
          <w:i w:val="false"/>
          <w:iCs w:val="false"/>
          <w:color w:val="1A2332"/>
          <w:sz w:val="22"/>
          <w:szCs w:val="22"/>
        </w:rPr>
        <w:t xml:space="preserve">Production ML model serving: SageMaker real-time endpoints (managed inference, auto-scaling, A/B testing), SageMaker Serverless Inference (per-invocation billing for spiky workloads), and custom FastAPI inference server on ECS Fargate (for full control over dependencies). Model registry: SageMaker Model Registry for versioning, approval workflow, and deployment tracking. Monitoring: SageMaker Model Monitor for data drift, prediction quality drift, and bias drift detection.</w:t>
      </w:r>
    </w:p>
    <w:p>
      <w:pPr>
        <w:spacing w:after="60" w:before="60"/>
      </w:pPr>
    </w:p>
    <w:p>
      <w:pPr>
        <w:spacing w:after="160" w:before="100"/>
      </w:pPr>
      <w:r>
        <w:rPr>
          <w:rFonts w:ascii="Arial" w:cs="Arial" w:eastAsia="Arial" w:hAnsi="Arial"/>
          <w:b/>
          <w:bCs/>
          <w:i w:val="false"/>
          <w:iCs w:val="false"/>
          <w:color w:val="E8612A"/>
          <w:sz w:val="22"/>
          <w:szCs w:val="22"/>
        </w:rPr>
        <w:t xml:space="preserve">LLM API Integration Architecture: </w:t>
      </w:r>
      <w:r>
        <w:rPr>
          <w:rFonts w:ascii="Arial" w:cs="Arial" w:eastAsia="Arial" w:hAnsi="Arial"/>
          <w:b w:val="false"/>
          <w:bCs w:val="false"/>
          <w:i w:val="false"/>
          <w:iCs w:val="false"/>
          <w:color w:val="1A2332"/>
          <w:sz w:val="22"/>
          <w:szCs w:val="22"/>
        </w:rPr>
        <w:t xml:space="preserve">Production LLM architecture: never call LLM APIs synchronously from user-facing API (latency is unpredictable — 1–30 seconds). Pattern: async LLM request queue (SQS), Lambda consumer calling Anthropic/OpenAI API, WebSocket or Server-Sent Events for streaming response back to client. Rate limiting: track tokens per minute per user (LLM APIs have rate limits — exponential backoff + jitter). Cost control: token budget per request, prompt caching where APIs support it.</w:t>
      </w:r>
    </w:p>
    <w:p>
      <w:pPr>
        <w:spacing w:after="60" w:before="60"/>
      </w:pPr>
    </w:p>
    <w:p>
      <w:pPr>
        <w:spacing w:after="160" w:before="100"/>
      </w:pPr>
      <w:r>
        <w:rPr>
          <w:rFonts w:ascii="Arial" w:cs="Arial" w:eastAsia="Arial" w:hAnsi="Arial"/>
          <w:b/>
          <w:bCs/>
          <w:i w:val="false"/>
          <w:iCs w:val="false"/>
          <w:color w:val="E8612A"/>
          <w:sz w:val="22"/>
          <w:szCs w:val="22"/>
        </w:rPr>
        <w:t xml:space="preserve">UK GDPR Article 22 Cloud AI Architecture: </w:t>
      </w:r>
      <w:r>
        <w:rPr>
          <w:rFonts w:ascii="Arial" w:cs="Arial" w:eastAsia="Arial" w:hAnsi="Arial"/>
          <w:b w:val="false"/>
          <w:bCs w:val="false"/>
          <w:i w:val="false"/>
          <w:iCs w:val="false"/>
          <w:color w:val="1A2332"/>
          <w:sz w:val="22"/>
          <w:szCs w:val="22"/>
        </w:rPr>
        <w:t xml:space="preserve">Article 22 applies when AI makes automated decisions with significant legal or similarly significant effects. Cloud AI architecture for UK GDPR compliance: human review interface for high-impact decisions (reject a loan application, deny an insurance claim), explainability endpoint (why did the model make this decision?), decision audit log (immutable — Article 22 requires individuals to have the right to explanation), and opt-out mechanism (human review on request).</w:t>
      </w:r>
    </w:p>
    <w:p>
      <w:pPr>
        <w:spacing w:after="60" w:before="60"/>
      </w:pPr>
    </w:p>
    <w:p>
      <w:pPr>
        <w:spacing w:after="160" w:before="100"/>
      </w:pPr>
      <w:r>
        <w:rPr>
          <w:rFonts w:ascii="Arial" w:cs="Arial" w:eastAsia="Arial" w:hAnsi="Arial"/>
          <w:b/>
          <w:bCs/>
          <w:i w:val="false"/>
          <w:iCs w:val="false"/>
          <w:color w:val="E8612A"/>
          <w:sz w:val="22"/>
          <w:szCs w:val="22"/>
        </w:rPr>
        <w:t xml:space="preserve">AI Cost Optimisation on AWS: </w:t>
      </w:r>
      <w:r>
        <w:rPr>
          <w:rFonts w:ascii="Arial" w:cs="Arial" w:eastAsia="Arial" w:hAnsi="Arial"/>
          <w:b w:val="false"/>
          <w:bCs w:val="false"/>
          <w:i w:val="false"/>
          <w:iCs w:val="false"/>
          <w:color w:val="1A2332"/>
          <w:sz w:val="22"/>
          <w:szCs w:val="22"/>
        </w:rPr>
        <w:t xml:space="preserve">Production LLM costs can scale unpredictably. Cost controls: prompt caching (Anthropic Prompt Caching reduces token cost for repeated context), response streaming (stops generation when user has enough — reduce unnecessary tokens), batch processing (AWS Bedrock Batch Inference — 50% lower cost for non-real-time workloads), model tier selection (use smallest model that satisfies quality threshold), and per-user token budgets (prevent runaway costs from single users).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UK GDPR Article 22, ICO AI guidance, Cyber Essentials, NHS DSP Toolkit (for HealthTech AI)</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AI Cloud-Native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AWS architecture should I use for a production LLM application?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Production LLM on AWS: API Gateway + Lambda for synchronous LLM calls (simple, low traffic), or SQS + Lambda + WebSocket API Gateway for async streaming (better for high latency LLM responses). Model hosting: Bedrock (managed, supports Anthropic Claude, Amazon Titan, Meta Llama), SageMaker Endpoints (your own fine-tuned models), or Lambda calling external APIs (OpenAI, Anthropic). ClickMasters recommends Bedrock + Lambda + SQS for most UK production LLM applications.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we handle UK GDPR Article 22 in an AI application?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Article 22 applies when AI makes decisions with significant effects — credit decisions, insurance pricing, medical triage, benefits eligibility. Required: human review interface (caseworker can override AI decision), explanation endpoint (what factors drove the decision, in plain English), audit log (every AI decision logged with input features, model version, output, timestamp), and opt-out mechanism (user can request human decision). ClickMasters builds Article 22 compliance into all production AI systems by default.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AI Development UK: /ai-development/</w:t>
      </w:r>
    </w:p>
    <w:p>
      <w:pPr>
        <w:pStyle w:val="ListParagraph"/>
        <w:numPr>
          <w:ilvl w:val="0"/>
          <w:numId w:val="2"/>
        </w:numPr>
        <w:spacing w:after="60" w:before="60"/>
      </w:pPr>
      <w:r>
        <w:rPr>
          <w:rFonts w:ascii="Arial" w:cs="Arial" w:eastAsia="Arial" w:hAnsi="Arial"/>
          <w:color w:val="1A4A8A"/>
          <w:sz w:val="22"/>
          <w:szCs w:val="22"/>
        </w:rPr>
        <w:t xml:space="preserve">Cloud-Native Development UK: /cloud-native-development/</w:t>
      </w:r>
    </w:p>
    <w:p>
      <w:pPr>
        <w:pStyle w:val="ListParagraph"/>
        <w:numPr>
          <w:ilvl w:val="0"/>
          <w:numId w:val="2"/>
        </w:numPr>
        <w:spacing w:after="60" w:before="60"/>
      </w:pPr>
      <w:r>
        <w:rPr>
          <w:rFonts w:ascii="Arial" w:cs="Arial" w:eastAsia="Arial" w:hAnsi="Arial"/>
          <w:color w:val="1A4A8A"/>
          <w:sz w:val="22"/>
          <w:szCs w:val="22"/>
        </w:rPr>
        <w:t xml:space="preserve">UK GDPR Compliance Checklist: /uk-gdpr-software-compliance-checklist/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AI Cloud-Native Development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AI Team</w:t>
            </w:r>
          </w:p>
          <w:p>
            <w:pPr>
              <w:spacing w:after="80" w:before="0"/>
            </w:pPr>
            <w:r>
              <w:rPr>
                <w:rFonts w:ascii="Arial" w:cs="Arial" w:eastAsia="Arial" w:hAnsi="Arial"/>
                <w:b/>
                <w:bCs/>
                <w:color w:val="E8612A"/>
                <w:sz w:val="20"/>
                <w:szCs w:val="20"/>
              </w:rPr>
              <w:t xml:space="preserve">AI specialists</w:t>
            </w:r>
          </w:p>
          <w:p>
            <w:pPr>
              <w:spacing w:after="0" w:before="0"/>
            </w:pPr>
            <w:r>
              <w:rPr>
                <w:rFonts w:ascii="Arial" w:cs="Arial" w:eastAsia="Arial" w:hAnsi="Arial"/>
                <w:color w:val="1A2332"/>
                <w:sz w:val="20"/>
                <w:szCs w:val="20"/>
              </w:rPr>
              <w:t xml:space="preserve">Delivering Cloud-Native Development for UK AI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"ai cloud native development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2026-05-28T09:03:21.147Z</dcterms:created>
  <dcterms:modified xsi:type="dcterms:W3CDTF">2026-05-28T09:03:21.147Z</dcterms:modified>
</cp:coreProperties>
</file>

<file path=docProps/custom.xml><?xml version="1.0" encoding="utf-8"?>
<Properties xmlns="http://schemas.openxmlformats.org/officeDocument/2006/custom-properties" xmlns:vt="http://schemas.openxmlformats.org/officeDocument/2006/docPropsVTypes"/>
</file>