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Wealth Management Platform — UK Boutique Asset Manager — ClickMasters Case Study
META DESC: A UK FCA-authorised boutique asset manager with £850M AUM managing 280 private client portfolios needed to rep...
SLUG: /case-studies/fintech-wealth-management-boutique-asset-manager/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Wealth Management Platform — UK Boutique Asset Manager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Wealth Management Platform — UK Boutique Asset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Wealth Management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Wealth Management | Tech: React, Node.js/Fastify, PostgreSQL, BNY Mellon API, Bloomberg API, GLEIF LEI API, DTCC ARM (FIX), WeasyPrint, AWS eu-west-2 | Compliance: FCA COBS 9A, FCA Consumer Duty, UK MiFIR, UK GDPR,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boutique asset manager with £850M AUM managing 280 private client portfolios needed to replace their manual Excel-based portfolio management with a digital wealth management platform. FCA COBS 9A (suitability assessment for retail clients), FCA Consumer Duty, MiFID II/UK MiFIR transaction reporting, personalised client reporting, and HMRC tax reporting were mandatory requirements.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COBS 9A Suitability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COBS 9A: suitability assessment must consider client's knowledge and experience, financial situation, and investment objectives. Digital suitability questionnaire: 28 questions covering all COBS 9A dimensions. Risk profiling: 5-band risk profile (Cautious/Conservative/Balanced/Growth/Adventurous). Annual review trigger: automated suitability review reminder 11 months after last assessment. Material change: any significant change to client circumstances triggers immediate re-suitability.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Portfolio Management and Rebalancing: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Portfolio position tracking: custody data API (BNY Mellon API), live pricing (Bloomberg API), and transaction history. Asset allocation: actual vs target allocation (per suitability band model portfolio). Rebalancing: automatic rebalancing proposal when allocation drifts &gt; 5% from target. FCA COBS 2.1: best execution — rebalancing proposals include execution rationale.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MiFIR Transaction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UK MiFIR: all trades in financial instruments must be reported to an Approved Reporting Mechanism (ARM) within working day T+1. Trade reporting: OMS to ARM (DTCC) via FIX protocol. ISIN and LEI enrichment (Bloomberg API, GLEIF). Pre-submission validation: validate against FCA validation rules before ARM submission. Rejection management: automated resubmission with correction on rejection.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Personalised Client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Client portal: portfolio performance (absolute and benchmark-relative), asset allocation chart, transaction history, and CGT (Capital Gains Tax) position. Quarterly report: automated PDF generation (portfolio summary, performance attribution, market commentary section for manager input). COBS 16A: periodic reporting obligations satisfied. UK GDPR: client financial data isolated per client — no cross-client data access.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18 weeks, £112,000 — under budget. Suitability review completion: 98% of client reviews completed within annual deadline (manual: 84%). MiFIR rejection rate: 6.2% → 0.4% (pre-submission validation). Client portal adoption: 76% of clients accessing portal monthly. Quarterly report generation: 3 days manual → 4 hours automated. FCA COBS 9A audit: suitability documentation commended as best practice.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"FCA audit commended our suitability documentation as best practice. 0.4% MiFIR rejection rate versus 6.2% previously — the pre-submission validation caught everything DTCC would have rejected. The quarterly report automation saved 3 days of work per quarter for our operations team." — COO, UK Boutique Asset Manager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BNY Mellon API, Bloomberg API, GLEIF LEI API, DTCC ARM (FIX), WeasyPrint,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COBS 9A, FCA Consumer Duty, UK MiFIR, UK GDPR,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wealth management software uk, boutique asset manager platform uk, mifir reporting wealth management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2026-05-28T09:13:55.944Z</dcterms:created>
  <dcterms:modified xsi:type="dcterms:W3CDTF">2026-05-28T09:13:55.944Z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