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Mental Health Crisis Pathway — Trust Digital Triage — ClickMasters Case Study
META DESC: An NHS Mental Health Trust with a 24/7 crisis line (1,400 calls/month) needed to build a digital crisis triage...
SLUG: /case-studies/healthtech-nhs-mental-health-crisis-pathway/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Mental Health Crisis Pathway — Trust Digital Triage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Mental Health Crisis Pathway — Trust Digital Triage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Mental Health | Tech: React, Node.js/Fastify, PostgreSQL, GOV.UK Notify (follow-up SMS), NHS PDS FHIR R4, AWS eu-west-2 | Compliance: DTAC all 5 domains, DCB0129, NHS Safe Messaging (Samaritans guidelines),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Mental Health Trust with a 24/7 crisis line (1,400 calls/month) needed to build a digital crisis triage platform — providing structured safety assessment tools, digital safety plans, and follow-up contact scheduling for service users in crisis. DTAC all 5 domains, DCB0129 (clinical safety in mental health crisis context — highest patient safety risk), NHS Safe Messaging guidance (Samaritans), UK GDPR Article 9 (mental health data — special category), and the NHS Long Term Plan mental health transformation requirements were mandatory.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Crisis Safety Assessment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framework: NHS Crisis and Intensive Home Treatment (CIHT) standards, Columbia Suicide Severity Rating Scale (C-SSRS) digitised as structured assessment, and NHS Practitioner Health Programme acute risk criteria. Assessment workflow: triage clinician completes C-SSRS on behalf of service user (not self-report in acute crisis), risk formulation structured (protective factors, risk factors, immediate safety need), and safety plan co-produced with service user.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Mental Health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Highest hazard: system unavailability during active crisis call — mitigated by: 99.9% uptime SLA with automatic failover, mobile-first design works offline for completed assessment forms, and paper backup protocol (printed on clinician workstation). Second highest hazard: data loss of partially completed safety assessment — mitigated by: auto-save every 30 seconds, optimistic locking, and conflict resolution.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Safe Messaging and Content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Samaritans Safe Messaging Guidelines: all text content reviewed against safe messaging standards (no method mentions, no glorification, focus on recovery). NHS content design: plain English (Flesch score &gt; 60), no clinical jargon in service user-facing content, accessibility (WCAG 2.1 AA). Peer review: all clinician-facing content reviewed by the Trust's clinical lead and a service user experience panel before release.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Special Category and Mental Health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Article 9(2)(h) basis: processing necessary for provision of health or social care. Mental health data sensitivity: NHS DSP Toolkit Standard 1 mandatory, CQCC (Care Quality Commission) inspection readiness. Data minimisation: only crisis assessment data collected — no historical record review in the triage platform (clinician accesses RiO/SystmOne separately). Retention: 8 years post-discharge (NHS mental health statutory minimum).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DCB0129 accepted first submission. Platform live at 16 weeks, £82,000 — under budget. Crisis safety plans created digitally: 94% of assessed service users (target: 80%). Follow-up contact completion: 78% within 24 hours (pre-platform: 61%). Re-contact rate (service user initiates further contact within 72 hours): 34% reduction. CQC inspection: digital crisis pathway cited as outstanding practice.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"CQC cited the digital crisis pathway as outstanding practice. 78% follow-up contact completion within 24 hours versus 61% previously — those 17 percentage points represent real people who received follow-up contact during the most vulnerable period. DCB0129 first submission accepted. The safe messaging review process was the most clinically important piece of the build." — Medical Director, NHS Mental Health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GOV.UK Notify (follow-up SMS), NHS PDS FHIR R4,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Safe Messaging (Samaritans guidelines),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mental health crisis pathway software uk, mental health digital triage uk, healthtech crisis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2026-05-28T20:34:55.011Z</dcterms:created>
  <dcterms:modified xsi:type="dcterms:W3CDTF">2026-05-28T20:34:55.011Z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