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UK — FCA, Open Banking &amp; Regulated FinTech Builds | ClickMasters
META DESC: ClickMasters FinTech software development specialists. FCA. From £35,000. Free consultation for UK FinTech businesses.
SLUG: /fintech-software-development/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FinTech Team  |  Reviewed by: James Whitmore, CTO — FinTech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UK — FCA, Open Banking &amp; Regulated FinTech Builds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FCA-Aware Architecture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Open Banking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PSD2 &amp; SCA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PCI-DSS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of London Specialists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FinTech software development in the UK requires FCA-aware architecture from day one — not compliance bolted on afterwards. Whether you're building an FCA-authorised payment service, an AISP/PISP Open Banking product, a lending platform, or a consumer investment app, ClickMasters designs the regulatory architecture alongside the technical architecture. Key requirements: FCA Consumer Duty (July 2023 UX obligations), PSD2 Strong Customer Authentication, OBIE Open Banking API standards, AML/KYC workflow, PCI-DSS scope management, and UK GDPR dual compliance. City of London focus with direct FinTech sector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FinTech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UK FinTech sector is the largest in Europe — generating over £11bn in annual revenues and home to more FinTech unicorns than any other European country. Building regulated FinTech software in the UK means navigating FCA authorisation requirements, PSD2 SCA obligations, Open Banking standards, and Consumer Duty — while building a product that actually works for users. ClickMasters architects FinTech software with regulatory compliance as a first-class concern.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FinTech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FinTech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FCA Authorisation Architecture: </w:t>
      </w:r>
      <w:r>
        <w:rPr>
          <w:rFonts w:ascii="Arial" w:cs="Arial" w:eastAsia="Arial" w:hAnsi="Arial"/>
          <w:b w:val="false"/>
          <w:bCs w:val="false"/>
          <w:i w:val="false"/>
          <w:iCs w:val="false"/>
          <w:color w:val="1A2332"/>
          <w:sz w:val="22"/>
          <w:szCs w:val="22"/>
        </w:rPr>
        <w:t xml:space="preserve">Whether your product requires FCA authorisation (AISP, PISP, e-money, consumer credit, investment) or sits within an existing authorised firm, the technical architecture must support the regulated activity. ClickMasters designs software around the authorisation model — audit trails for FCA reporting, consumer protection mechanisms for Consumer Duty, and the operational resilience mapping required by PS21/3.</w:t>
      </w:r>
    </w:p>
    <w:p>
      <w:pPr>
        <w:spacing w:after="60" w:before="60"/>
      </w:pPr>
    </w:p>
    <w:p>
      <w:pPr>
        <w:spacing w:after="160" w:before="100"/>
      </w:pPr>
      <w:r>
        <w:rPr>
          <w:rFonts w:ascii="Arial" w:cs="Arial" w:eastAsia="Arial" w:hAnsi="Arial"/>
          <w:b/>
          <w:bCs/>
          <w:i w:val="false"/>
          <w:iCs w:val="false"/>
          <w:color w:val="E8612A"/>
          <w:sz w:val="22"/>
          <w:szCs w:val="22"/>
        </w:rPr>
        <w:t xml:space="preserve">Open Banking — OBIE Standards: </w:t>
      </w:r>
      <w:r>
        <w:rPr>
          <w:rFonts w:ascii="Arial" w:cs="Arial" w:eastAsia="Arial" w:hAnsi="Arial"/>
          <w:b w:val="false"/>
          <w:bCs w:val="false"/>
          <w:i w:val="false"/>
          <w:iCs w:val="false"/>
          <w:color w:val="1A2332"/>
          <w:sz w:val="22"/>
          <w:szCs w:val="22"/>
        </w:rPr>
        <w:t xml:space="preserve">UK Open Banking mandates OBIE Read/Write API standards for the nine major banks. Building an AISP or PISP product requires: OAuth2 authorisation code flow with PKCE, dynamic client registration with OBIE Directory, consent management (detailed, revocable, time-limited), and token lifecycle management. ClickMasters has integrated TrueLayer and direct OBIE connections for UK FinTech clients.</w:t>
      </w:r>
    </w:p>
    <w:p>
      <w:pPr>
        <w:spacing w:after="60" w:before="60"/>
      </w:pPr>
    </w:p>
    <w:p>
      <w:pPr>
        <w:spacing w:after="160" w:before="100"/>
      </w:pPr>
      <w:r>
        <w:rPr>
          <w:rFonts w:ascii="Arial" w:cs="Arial" w:eastAsia="Arial" w:hAnsi="Arial"/>
          <w:b/>
          <w:bCs/>
          <w:i w:val="false"/>
          <w:iCs w:val="false"/>
          <w:color w:val="E8612A"/>
          <w:sz w:val="22"/>
          <w:szCs w:val="22"/>
        </w:rPr>
        <w:t xml:space="preserve">AML and KYC Workflows: </w:t>
      </w:r>
      <w:r>
        <w:rPr>
          <w:rFonts w:ascii="Arial" w:cs="Arial" w:eastAsia="Arial" w:hAnsi="Arial"/>
          <w:b w:val="false"/>
          <w:bCs w:val="false"/>
          <w:i w:val="false"/>
          <w:iCs w:val="false"/>
          <w:color w:val="1A2332"/>
          <w:sz w:val="22"/>
          <w:szCs w:val="22"/>
        </w:rPr>
        <w:t xml:space="preserve">The Money Laundering Regulations 2017 require Customer Due Diligence (CDD) for most financial services products. Software must support: digital identity verification (Onfido, Jumio, or equivalent), CDD/EDD workflows triggered by risk score, suspicious activity reporting to the MLRO, transaction monitoring for unusual patterns, and sanctions screening (OFSI/HMT lists). Article 9 UK GDPR applies to biometric verification data.</w:t>
      </w:r>
    </w:p>
    <w:p>
      <w:pPr>
        <w:spacing w:after="60" w:before="60"/>
      </w:pPr>
    </w:p>
    <w:p>
      <w:pPr>
        <w:spacing w:after="160" w:before="100"/>
      </w:pPr>
      <w:r>
        <w:rPr>
          <w:rFonts w:ascii="Arial" w:cs="Arial" w:eastAsia="Arial" w:hAnsi="Arial"/>
          <w:b/>
          <w:bCs/>
          <w:i w:val="false"/>
          <w:iCs w:val="false"/>
          <w:color w:val="E8612A"/>
          <w:sz w:val="22"/>
          <w:szCs w:val="22"/>
        </w:rPr>
        <w:t xml:space="preserve">Consumer Duty UX Requirements: </w:t>
      </w:r>
      <w:r>
        <w:rPr>
          <w:rFonts w:ascii="Arial" w:cs="Arial" w:eastAsia="Arial" w:hAnsi="Arial"/>
          <w:b w:val="false"/>
          <w:bCs w:val="false"/>
          <w:i w:val="false"/>
          <w:iCs w:val="false"/>
          <w:color w:val="1A2332"/>
          <w:sz w:val="22"/>
          <w:szCs w:val="22"/>
        </w:rPr>
        <w:t xml:space="preserve">The FCA Consumer Duty (effective July 2023) requires software to evidence "good outcomes" for customers. This means: no dark patterns in the UI (ICO and FCA aligned), transparent pricing with clear total cost of ownership, vulnerable customer identification and support, and outcome monitoring dashboards to evidence FCA compliance.</w:t>
      </w:r>
    </w:p>
    <w:p>
      <w:pPr>
        <w:spacing w:after="60" w:before="60"/>
      </w:pPr>
    </w:p>
    <w:p>
      <w:pPr>
        <w:spacing w:after="160" w:before="100"/>
      </w:pPr>
      <w:r>
        <w:rPr>
          <w:rFonts w:ascii="Arial" w:cs="Arial" w:eastAsia="Arial" w:hAnsi="Arial"/>
          <w:b/>
          <w:bCs/>
          <w:i w:val="false"/>
          <w:iCs w:val="false"/>
          <w:color w:val="E8612A"/>
          <w:sz w:val="22"/>
          <w:szCs w:val="22"/>
        </w:rPr>
        <w:t xml:space="preserve">PCI-DSS Scope Management: </w:t>
      </w:r>
      <w:r>
        <w:rPr>
          <w:rFonts w:ascii="Arial" w:cs="Arial" w:eastAsia="Arial" w:hAnsi="Arial"/>
          <w:b w:val="false"/>
          <w:bCs w:val="false"/>
          <w:i w:val="false"/>
          <w:iCs w:val="false"/>
          <w:color w:val="1A2332"/>
          <w:sz w:val="22"/>
          <w:szCs w:val="22"/>
        </w:rPr>
        <w:t xml:space="preserve">Payment Card Industry Data Security Standard applies to any software storing, processing, or transmitting cardholder data. Scope reduction via tokenisation (Stripe Elements, Braintree) means most FinTech products can achieve SAQ-A or SAQ-A-EP rather than full SAQ-D. ClickMasters scopes PCI-DSS compliance during architecture design — not as a retrofit.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FinTech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FinTech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FCA |  PSD2 |  OBIE |  Consumer Duty |  AML/KYC |  PCI-DSS |  UK GDPR |  Cyber Essentials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FinTech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FCA-Compliant MVP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 Banking MVP, lending platform MVP, consumer investment app MVP. From £35,000. FCA Sandbox-aware architecture. AML/KYC from day one.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Open Banking Integration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OBIE API integration, TrueLayer/Yapily integration, AISP account aggregation, PISP payment initiation. From £15,000.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AML/KYC Platform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Identity verification, CDD/EDD workflows, transaction monitoring, MLRO reporting dashboard. From £25,000.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SaaS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B2B FinTech SaaS with multi-tenancy, FCA-aware data architecture, enterprise SSO, Stripe billing. From £60,000.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FinTech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Modernise legacy payment or banking software. Zero downtime. FCA operational resilience maintained. From £40,000.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FinTech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FCA authorisation for my FinTech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depends on the regulated activity. FCA authorisation is required for: accepting deposits, issuing electronic money (e-money licence), providing payment services (AISP/PISP), consumer credit, investment management, and insurance distribution. If your product only provides data analytics, software tools, or technology infrastructure for regulated firms — you may not need authorisation. ClickMasters can advise on the regulatory perimeter and what FCA evidence your application will require.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FCA Consumer Duty and how does it affect my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FCA Consumer Duty (effective July 2023) requires regulated firms to evidence "good outcomes" for retail customers. For software: no dark patterns (ICO and FCA aligned), pricing must be transparent and fair, vulnerable customer journeys must be designed and tested, outcome monitoring must be instrumented, and you must be able to evidence compliance to the FCA on request.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handle UK GDPR and AML data retention tension?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AML regulations require you to retain transaction records for 5 years. UK GDPR requires you to delete personal data when no longer needed. This creates a genuine tension — particularly for right to erasure requests. The solution: retain the minimum data required for AML purposes, clearly document the legal basis (legal obligation) for retained records, and implement "functional deletion" (pseudonymisation + access restriction) for data you must retain but shouldn't actively use.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FinTech software development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FinTech software costs 15–30% more than equivalent unregulated software due to compliance architecture requirements. A FinTech MVP: £35,000–£80,000. A full FCA-authorised platform: £80,000–£250,000+. The largest cost drivers: AML/KYC integration complexity, FCA operational resilience mapping, Open Banking API integration, and Consumer Duty UX testing. See /cost-fintech-development-uk/ for detailed breakdown.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Open Banking Development Guide: /open-banking-development-guide/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Cost UK: /cost-fintech-development-uk/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London: /fintech-software-development-london/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for FinTech: /hire-react-developer-london/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FinTech Software — Free Consultation</w:t>
            </w:r>
          </w:p>
          <w:p>
            <w:pPr>
              <w:spacing w:after="160" w:before="0"/>
            </w:pPr>
            <w:r>
              <w:rPr>
                <w:rFonts w:ascii="Arial" w:cs="Arial" w:eastAsia="Arial" w:hAnsi="Arial"/>
                <w:color w:val="BDD0E8"/>
                <w:sz w:val="22"/>
                <w:szCs w:val="22"/>
              </w:rPr>
              <w:t xml:space="preserve">Book a free 45-minute consultation with a FinTech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Development Team</w:t>
            </w:r>
          </w:p>
          <w:p>
            <w:pPr>
              <w:spacing w:after="80" w:before="0"/>
            </w:pPr>
            <w:r>
              <w:rPr>
                <w:rFonts w:ascii="Arial" w:cs="Arial" w:eastAsia="Arial" w:hAnsi="Arial"/>
                <w:b/>
                <w:bCs/>
                <w:color w:val="E8612A"/>
                <w:sz w:val="20"/>
                <w:szCs w:val="20"/>
              </w:rPr>
              <w:t xml:space="preserve">FinTech software specialists — FCA,  PSD2 compliance</w:t>
            </w:r>
          </w:p>
          <w:p>
            <w:pPr>
              <w:spacing w:after="0" w:before="0"/>
            </w:pPr>
            <w:r>
              <w:rPr>
                <w:rFonts w:ascii="Arial" w:cs="Arial" w:eastAsia="Arial" w:hAnsi="Arial"/>
                <w:color w:val="1A2332"/>
                <w:sz w:val="20"/>
                <w:szCs w:val="20"/>
              </w:rPr>
              <w:t xml:space="preserve">ClickMasters has built FinTech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"fintech software development uk" (800–3,000/mo)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2026-05-21T06:47:57.258Z</dcterms:created>
  <dcterms:modified xsi:type="dcterms:W3CDTF">2026-05-21T06:47:57.276Z</dcterms:modified>
</cp:coreProperties>
</file>

<file path=docProps/custom.xml><?xml version="1.0" encoding="utf-8"?>
<Properties xmlns="http://schemas.openxmlformats.org/officeDocument/2006/custom-properties" xmlns:vt="http://schemas.openxmlformats.org/officeDocument/2006/docPropsVTypes"/>
</file>