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UK GDPR? UK Definition &amp; Guide | ClickMasters
META DESC: UK GDPR explained for UK software developers and business owners. UK GDPR (UK General Data Protection Regulation) is the post-Brexit version of EU GDPR, retained into UK law via the Euro... UK context, examples, and related services.
SLUG: /glossary/uk-gdpr-definition/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UK GDPR?</w:t>
      </w:r>
    </w:p>
    <w:p>
      <w:pPr>
        <w:spacing w:after="60" w:before="60"/>
      </w:pPr>
    </w:p>
    <w:p>
      <w:pPr>
        <w:pStyle w:val="Heading1"/>
        <w:spacing w:after="160" w:before="360"/>
      </w:pPr>
      <w:r>
        <w:rPr>
          <w:rFonts w:ascii="Arial" w:cs="Arial" w:eastAsia="Arial" w:hAnsi="Arial"/>
          <w:b/>
          <w:bCs/>
          <w:color w:val="0B1F3A"/>
          <w:sz w:val="40"/>
          <w:szCs w:val="40"/>
        </w:rPr>
        <w:t xml:space="preserve">What is UK GDPR?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GDPR (UK General Data Protection Regulation) is the post-Brexit version of EU GDPR, retained into UK law via the European Union (Withdrawal) Act 2018 and Data Protection Act 2018. It governs how personal data about UK residents must be collected, stored, processed, and deleted. UK GDPR applies to any organisation processing personal data about UK residents — regardless of where the organisation is 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GDPR is distinct from EU GDPR following Brexit, though the two are substantively similar. Key differences: the ICO (Information Commissioner's Office) is the UK regulator (not an EU supervisory authority), the maximum fine is £17.5 million or 4% of global annual turnover, and international transfers use IDTA (UK International Data Transfer Agreement) rather than EU Standard Contractual Clauses. For software developers, UK GDPR requires privacy by design (Article 25), appropriate security measures (Article 32), and Data Processing Agreements for third-party processors (Article 28).</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ICO: </w:t>
      </w:r>
      <w:r>
        <w:rPr>
          <w:rFonts w:ascii="Arial" w:cs="Arial" w:eastAsia="Arial" w:hAnsi="Arial"/>
          <w:b w:val="false"/>
          <w:bCs w:val="false"/>
          <w:i w:val="false"/>
          <w:iCs w:val="false"/>
          <w:color w:val="1A2332"/>
          <w:sz w:val="22"/>
          <w:szCs w:val="22"/>
        </w:rPr>
        <w:t xml:space="preserve">Information Commissioner's Office — the UK data protection regulator.</w:t>
      </w:r>
    </w:p>
    <w:p>
      <w:pPr>
        <w:spacing w:after="160" w:before="100"/>
      </w:pPr>
      <w:r>
        <w:rPr>
          <w:rFonts w:ascii="Arial" w:cs="Arial" w:eastAsia="Arial" w:hAnsi="Arial"/>
          <w:b/>
          <w:bCs/>
          <w:i w:val="false"/>
          <w:iCs w:val="false"/>
          <w:color w:val="0B1F3A"/>
          <w:sz w:val="22"/>
          <w:szCs w:val="22"/>
        </w:rPr>
        <w:t xml:space="preserve">Privacy by Design: </w:t>
      </w:r>
      <w:r>
        <w:rPr>
          <w:rFonts w:ascii="Arial" w:cs="Arial" w:eastAsia="Arial" w:hAnsi="Arial"/>
          <w:b w:val="false"/>
          <w:bCs w:val="false"/>
          <w:i w:val="false"/>
          <w:iCs w:val="false"/>
          <w:color w:val="1A2332"/>
          <w:sz w:val="22"/>
          <w:szCs w:val="22"/>
        </w:rPr>
        <w:t xml:space="preserve">The Article 25 requirement to build data protection into systems from the outset.</w:t>
      </w:r>
    </w:p>
    <w:p>
      <w:pPr>
        <w:spacing w:after="160" w:before="100"/>
      </w:pPr>
      <w:r>
        <w:rPr>
          <w:rFonts w:ascii="Arial" w:cs="Arial" w:eastAsia="Arial" w:hAnsi="Arial"/>
          <w:b/>
          <w:bCs/>
          <w:i w:val="false"/>
          <w:iCs w:val="false"/>
          <w:color w:val="0B1F3A"/>
          <w:sz w:val="22"/>
          <w:szCs w:val="22"/>
        </w:rPr>
        <w:t xml:space="preserve">DPIA: </w:t>
      </w:r>
      <w:r>
        <w:rPr>
          <w:rFonts w:ascii="Arial" w:cs="Arial" w:eastAsia="Arial" w:hAnsi="Arial"/>
          <w:b w:val="false"/>
          <w:bCs w:val="false"/>
          <w:i w:val="false"/>
          <w:iCs w:val="false"/>
          <w:color w:val="1A2332"/>
          <w:sz w:val="22"/>
          <w:szCs w:val="22"/>
        </w:rPr>
        <w:t xml:space="preserve">Data Protection Impact Assessment — required for high-risk data processing.</w:t>
      </w:r>
    </w:p>
    <w:p>
      <w:pPr>
        <w:spacing w:after="160" w:before="100"/>
      </w:pPr>
      <w:r>
        <w:rPr>
          <w:rFonts w:ascii="Arial" w:cs="Arial" w:eastAsia="Arial" w:hAnsi="Arial"/>
          <w:b/>
          <w:bCs/>
          <w:i w:val="false"/>
          <w:iCs w:val="false"/>
          <w:color w:val="0B1F3A"/>
          <w:sz w:val="22"/>
          <w:szCs w:val="22"/>
        </w:rPr>
        <w:t xml:space="preserve">Data Controller: </w:t>
      </w:r>
      <w:r>
        <w:rPr>
          <w:rFonts w:ascii="Arial" w:cs="Arial" w:eastAsia="Arial" w:hAnsi="Arial"/>
          <w:b w:val="false"/>
          <w:bCs w:val="false"/>
          <w:i w:val="false"/>
          <w:iCs w:val="false"/>
          <w:color w:val="1A2332"/>
          <w:sz w:val="22"/>
          <w:szCs w:val="22"/>
        </w:rPr>
        <w:t xml:space="preserve">The organisation that determines the purposes and means of processing personal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Privacy by Design Software UK: /privacy-by-design-software/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/data-residency-uk-gdpr/</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UK GDPR</w:t>
            </w:r>
          </w:p>
          <w:p>
            <w:pPr>
              <w:spacing w:after="160" w:before="0"/>
            </w:pPr>
            <w:r>
              <w:rPr>
                <w:rFonts w:ascii="Arial" w:cs="Arial" w:eastAsia="Arial" w:hAnsi="Arial"/>
                <w:color w:val="BDD0E8"/>
                <w:sz w:val="22"/>
                <w:szCs w:val="22"/>
              </w:rPr>
              <w:t xml:space="preserve">ClickMasters engineers apply UK GDPR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uk gdpr" (500/mo), "uk gdpr explained"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2026-05-21T06:47:58.185Z</dcterms:created>
  <dcterms:modified xsi:type="dcterms:W3CDTF">2026-05-21T06:47:58.185Z</dcterms:modified>
</cp:coreProperties>
</file>

<file path=docProps/custom.xml><?xml version="1.0" encoding="utf-8"?>
<Properties xmlns="http://schemas.openxmlformats.org/officeDocument/2006/custom-properties" xmlns:vt="http://schemas.openxmlformats.org/officeDocument/2006/docPropsVTypes"/>
</file>