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BF2FA" w:sz="1"/>
              <w:left w:val="single" w:color="EBF2FA" w:sz="1"/>
              <w:bottom w:val="single" w:color="EBF2FA" w:sz="1"/>
              <w:right w:val="single" w:color="EBF2FA" w:sz="1"/>
            </w:tcBorders>
            <w:shd w:fill="EBF2FA" w:val="clear"/>
            <w:tcMar>
              <w:top w:type="dxa" w:w="160"/>
              <w:left w:type="dxa" w:w="200"/>
              <w:bottom w:type="dxa" w:w="160"/>
              <w:right w:type="dxa" w:w="200"/>
            </w:tcMar>
          </w:tcPr>
          <w:p>
            <w:pPr>
              <w:spacing w:after="0" w:before="0"/>
            </w:pPr>
            <w:r>
              <w:rPr>
                <w:rFonts w:ascii="Arial" w:cs="Arial" w:eastAsia="Arial" w:hAnsi="Arial"/>
                <w:b w:val="false"/>
                <w:bCs w:val="false"/>
                <w:i w:val="false"/>
                <w:iCs w:val="false"/>
                <w:color w:val="5A6E82"/>
                <w:sz w:val="18"/>
                <w:szCs w:val="18"/>
              </w:rPr>
              <w:t xml:space="preserve">META TITLE: What is Domain-Driven Design? UK Definition &amp; Guide | ClickMasters
META DESC: Domain-Driven Design explained for UK software developers. Domain-Driven Design (DDD) is a software design approach that focuses on modelling software around the business domain i...
SLUG: /glossary/ddd-definition/</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BF2FA" w:sz="1"/>
              <w:left w:val="single" w:color="EBF2FA" w:sz="1"/>
              <w:bottom w:val="single" w:color="EBF2FA" w:sz="1"/>
              <w:right w:val="single" w:color="EBF2FA" w:sz="1"/>
            </w:tcBorders>
            <w:shd w:fill="EBF2FA" w:val="clear"/>
            <w:tcMar>
              <w:top w:type="dxa" w:w="160"/>
              <w:left w:type="dxa" w:w="200"/>
              <w:bottom w:type="dxa" w:w="160"/>
              <w:right w:type="dxa" w:w="200"/>
            </w:tcMar>
          </w:tcPr>
          <w:p>
            <w:pPr>
              <w:spacing w:after="0" w:before="0"/>
            </w:pPr>
            <w:r>
              <w:rPr>
                <w:rFonts w:ascii="Arial" w:cs="Arial" w:eastAsia="Arial" w:hAnsi="Arial"/>
                <w:b w:val="false"/>
                <w:bCs w:val="false"/>
                <w:i w:val="false"/>
                <w:iCs w:val="false"/>
                <w:color w:val="5A6E82"/>
                <w:sz w:val="18"/>
                <w:szCs w:val="18"/>
              </w:rPr>
              <w:t xml:space="preserve">Last updated: June 2025  |  Reading time: 4 min  |  Written by: ClickMasters Technical Team  |  Reviewed by: James Whitmore, CTO</w:t>
            </w:r>
          </w:p>
        </w:tc>
      </w:tr>
    </w:tbl>
    <w:p>
      <w:pPr>
        <w:spacing w:after="60" w:before="60"/>
      </w:pPr>
    </w:p>
    <w:p>
      <w:pPr>
        <w:spacing w:after="100" w:before="100"/>
      </w:pPr>
      <w:r>
        <w:rPr>
          <w:rFonts w:ascii="Arial" w:cs="Arial" w:eastAsia="Arial" w:hAnsi="Arial"/>
          <w:b w:val="false"/>
          <w:bCs w:val="false"/>
          <w:color w:val="1A4A8A"/>
          <w:sz w:val="18"/>
          <w:szCs w:val="18"/>
        </w:rPr>
        <w:t xml:space="preserve">Home</w:t>
      </w:r>
      <w:r>
        <w:rPr>
          <w:rFonts w:ascii="Arial" w:cs="Arial" w:eastAsia="Arial" w:hAnsi="Arial"/>
          <w:color w:val="5A6E82"/>
          <w:sz w:val="18"/>
          <w:szCs w:val="18"/>
        </w:rPr>
        <w:t xml:space="preserve"> › </w:t>
      </w:r>
      <w:r>
        <w:rPr>
          <w:rFonts w:ascii="Arial" w:cs="Arial" w:eastAsia="Arial" w:hAnsi="Arial"/>
          <w:b w:val="false"/>
          <w:bCs w:val="false"/>
          <w:color w:val="1A4A8A"/>
          <w:sz w:val="18"/>
          <w:szCs w:val="18"/>
        </w:rPr>
        <w:t xml:space="preserve">Glossary</w:t>
      </w:r>
      <w:r>
        <w:rPr>
          <w:rFonts w:ascii="Arial" w:cs="Arial" w:eastAsia="Arial" w:hAnsi="Arial"/>
          <w:color w:val="5A6E82"/>
          <w:sz w:val="18"/>
          <w:szCs w:val="18"/>
        </w:rPr>
        <w:t xml:space="preserve"> › </w:t>
      </w:r>
      <w:r>
        <w:rPr>
          <w:rFonts w:ascii="Arial" w:cs="Arial" w:eastAsia="Arial" w:hAnsi="Arial"/>
          <w:b/>
          <w:bCs/>
          <w:color w:val="1A2332"/>
          <w:sz w:val="18"/>
          <w:szCs w:val="18"/>
        </w:rPr>
        <w:t xml:space="preserve">What is Domain-Driven Design?</w:t>
      </w:r>
    </w:p>
    <w:p>
      <w:pPr>
        <w:spacing w:after="60" w:before="60"/>
      </w:pPr>
    </w:p>
    <w:p>
      <w:pPr>
        <w:pStyle w:val="Heading1"/>
        <w:spacing w:after="160" w:before="360"/>
      </w:pPr>
      <w:r>
        <w:rPr>
          <w:rFonts w:ascii="Arial" w:cs="Arial" w:eastAsia="Arial" w:hAnsi="Arial"/>
          <w:b/>
          <w:bCs/>
          <w:color w:val="0B1F3A"/>
          <w:sz w:val="40"/>
          <w:szCs w:val="40"/>
        </w:rPr>
        <w:t xml:space="preserve">What is Domain-Driven Design? — UK Software Development Guide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56"/>
        <w:gridCol w:w="2256"/>
        <w:gridCol w:w="2256"/>
        <w:gridCol w:w="2256"/>
      </w:tblGrid>
      <w:tr>
        <w:tc>
          <w:tcPr>
            <w:tcW w:type="dxa" w:w="2256"/>
            <w:tcBorders>
              <w:top w:val="single" w:color="D6E4F5" w:sz="1"/>
              <w:left w:val="single" w:color="D6E4F5" w:sz="1"/>
              <w:bottom w:val="single" w:color="D6E4F5" w:sz="1"/>
              <w:right w:val="single" w:color="D6E4F5" w:sz="1"/>
            </w:tcBorders>
            <w:shd w:fill="EBF2FA" w:val="clear"/>
            <w:tcMar>
              <w:top w:type="dxa" w:w="80"/>
              <w:left w:type="dxa" w:w="60"/>
              <w:bottom w:type="dxa" w:w="80"/>
              <w:right w:type="dxa" w:w="60"/>
            </w:tcMar>
          </w:tcPr>
          <w:p>
            <w:pPr>
              <w:spacing w:after="0" w:before="0"/>
              <w:jc w:val="center"/>
            </w:pPr>
            <w:r>
              <w:rPr>
                <w:rFonts w:ascii="Arial" w:cs="Arial" w:eastAsia="Arial" w:hAnsi="Arial"/>
                <w:b/>
                <w:bCs/>
                <w:color w:val="0B1F3A"/>
                <w:sz w:val="17"/>
                <w:szCs w:val="17"/>
              </w:rPr>
              <w:t xml:space="preserve">📚 Definition</w:t>
            </w:r>
          </w:p>
        </w:tc>
        <w:tc>
          <w:tcPr>
            <w:tcW w:type="dxa" w:w="2256"/>
            <w:tcBorders>
              <w:top w:val="single" w:color="D6E4F5" w:sz="1"/>
              <w:left w:val="single" w:color="D6E4F5" w:sz="1"/>
              <w:bottom w:val="single" w:color="D6E4F5" w:sz="1"/>
              <w:right w:val="single" w:color="D6E4F5" w:sz="1"/>
            </w:tcBorders>
            <w:shd w:fill="EBF2FA" w:val="clear"/>
            <w:tcMar>
              <w:top w:type="dxa" w:w="80"/>
              <w:left w:type="dxa" w:w="60"/>
              <w:bottom w:type="dxa" w:w="80"/>
              <w:right w:type="dxa" w:w="60"/>
            </w:tcMar>
          </w:tcPr>
          <w:p>
            <w:pPr>
              <w:spacing w:after="0" w:before="0"/>
              <w:jc w:val="center"/>
            </w:pPr>
            <w:r>
              <w:rPr>
                <w:rFonts w:ascii="Arial" w:cs="Arial" w:eastAsia="Arial" w:hAnsi="Arial"/>
                <w:b/>
                <w:bCs/>
                <w:color w:val="0B1F3A"/>
                <w:sz w:val="17"/>
                <w:szCs w:val="17"/>
              </w:rPr>
              <w:t xml:space="preserve">🇬🇧 UK Context</w:t>
            </w:r>
          </w:p>
        </w:tc>
        <w:tc>
          <w:tcPr>
            <w:tcW w:type="dxa" w:w="2256"/>
            <w:tcBorders>
              <w:top w:val="single" w:color="D6E4F5" w:sz="1"/>
              <w:left w:val="single" w:color="D6E4F5" w:sz="1"/>
              <w:bottom w:val="single" w:color="D6E4F5" w:sz="1"/>
              <w:right w:val="single" w:color="D6E4F5" w:sz="1"/>
            </w:tcBorders>
            <w:shd w:fill="EBF2FA" w:val="clear"/>
            <w:tcMar>
              <w:top w:type="dxa" w:w="80"/>
              <w:left w:type="dxa" w:w="60"/>
              <w:bottom w:type="dxa" w:w="80"/>
              <w:right w:type="dxa" w:w="60"/>
            </w:tcMar>
          </w:tcPr>
          <w:p>
            <w:pPr>
              <w:spacing w:after="0" w:before="0"/>
              <w:jc w:val="center"/>
            </w:pPr>
            <w:r>
              <w:rPr>
                <w:rFonts w:ascii="Arial" w:cs="Arial" w:eastAsia="Arial" w:hAnsi="Arial"/>
                <w:b/>
                <w:bCs/>
                <w:color w:val="0B1F3A"/>
                <w:sz w:val="17"/>
                <w:szCs w:val="17"/>
              </w:rPr>
              <w:t xml:space="preserve">🔗 Related Terms</w:t>
            </w:r>
          </w:p>
        </w:tc>
        <w:tc>
          <w:tcPr>
            <w:tcW w:type="dxa" w:w="2256"/>
            <w:tcBorders>
              <w:top w:val="single" w:color="D6E4F5" w:sz="1"/>
              <w:left w:val="single" w:color="D6E4F5" w:sz="1"/>
              <w:bottom w:val="single" w:color="D6E4F5" w:sz="1"/>
              <w:right w:val="single" w:color="D6E4F5" w:sz="1"/>
            </w:tcBorders>
            <w:shd w:fill="EBF2FA" w:val="clear"/>
            <w:tcMar>
              <w:top w:type="dxa" w:w="80"/>
              <w:left w:type="dxa" w:w="60"/>
              <w:bottom w:type="dxa" w:w="80"/>
              <w:right w:type="dxa" w:w="60"/>
            </w:tcMar>
          </w:tcPr>
          <w:p>
            <w:pPr>
              <w:spacing w:after="0" w:before="0"/>
              <w:jc w:val="center"/>
            </w:pPr>
            <w:r>
              <w:rPr>
                <w:rFonts w:ascii="Arial" w:cs="Arial" w:eastAsia="Arial" w:hAnsi="Arial"/>
                <w:b/>
                <w:bCs/>
                <w:color w:val="0B1F3A"/>
                <w:sz w:val="17"/>
                <w:szCs w:val="17"/>
              </w:rPr>
              <w:t xml:space="preserve">💼 Commercial Use</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BF5FF" w:sz="1"/>
              <w:left w:val="single" w:color="EBF5FF" w:sz="1"/>
              <w:bottom w:val="single" w:color="EBF5FF" w:sz="1"/>
              <w:right w:val="single" w:color="EBF5FF" w:sz="1"/>
            </w:tcBorders>
            <w:shd w:fill="EBF5FF" w:val="clear"/>
            <w:tcMar>
              <w:top w:type="dxa" w:w="160"/>
              <w:left w:type="dxa" w:w="200"/>
              <w:bottom w:type="dxa" w:w="160"/>
              <w:right w:type="dxa" w:w="200"/>
            </w:tcMar>
          </w:tcPr>
          <w:p>
            <w:pPr>
              <w:spacing w:after="0" w:before="0"/>
            </w:pPr>
            <w:r>
              <w:rPr>
                <w:rFonts w:ascii="Arial" w:cs="Arial" w:eastAsia="Arial" w:hAnsi="Arial"/>
                <w:b w:val="false"/>
                <w:bCs w:val="false"/>
                <w:i w:val="false"/>
                <w:iCs w:val="false"/>
                <w:color w:val="0B1F3A"/>
                <w:sz w:val="22"/>
                <w:szCs w:val="22"/>
              </w:rPr>
              <w:t xml:space="preserve">Direct Answer: Domain-Driven Design (DDD) is a software design approach that focuses on modelling software around the business domain it serves. Coined by Eric Evans in his 2003 book "Domain-Driven Design: Tackling Complexity in the Heart of Software", DDD provides concepts including: Ubiquitous Language (shared vocabulary between technical and business teams), Bounded Contexts (explicit boundaries within which a model applies), and Aggregates (clusters of domain objects that change together).</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
        <w:gridCol w:w="8906"/>
      </w:tblGrid>
      <w:tr>
        <w:tc>
          <w:tcPr>
            <w:tcW w:type="dxa" w:w="120"/>
            <w:tcBorders>
              <w:top w:val="nil" w:color="FFFFFF" w:sz="0"/>
              <w:left w:val="nil" w:color="FFFFFF" w:sz="0"/>
              <w:bottom w:val="nil" w:color="FFFFFF" w:sz="0"/>
              <w:right w:val="nil" w:color="FFFFFF" w:sz="0"/>
            </w:tcBorders>
            <w:shd w:fill="E8612A" w:val="clear"/>
          </w:tcPr>
          <w:p/>
        </w:tc>
        <w:tc>
          <w:tcPr>
            <w:tcW w:type="dxa" w:w="8906"/>
            <w:tcBorders>
              <w:bottom w:val="single" w:color="D6E4F5" w:sz="1"/>
            </w:tcBorders>
            <w:shd w:fill="FFFFFF" w:val="clear"/>
            <w:tcMar>
              <w:left w:type="dxa" w:w="200"/>
            </w:tcMar>
          </w:tcPr>
          <w:p>
            <w:pPr>
              <w:spacing w:after="100" w:before="100"/>
            </w:pPr>
            <w:r>
              <w:rPr>
                <w:rFonts w:ascii="Arial" w:cs="Arial" w:eastAsia="Arial" w:hAnsi="Arial"/>
                <w:b/>
                <w:bCs/>
                <w:color w:val="0B1F3A"/>
                <w:sz w:val="30"/>
                <w:szCs w:val="30"/>
              </w:rPr>
              <w:t xml:space="preserve">Domain-Driven Design — UK Context</w:t>
            </w:r>
          </w:p>
        </w:tc>
      </w:tr>
    </w:tbl>
    <w:p>
      <w:pPr>
        <w:spacing w:after="60" w:before="60"/>
      </w:pPr>
    </w:p>
    <w:p>
      <w:pPr>
        <w:spacing w:after="160" w:before="100"/>
        <w:jc w:val="left"/>
      </w:pPr>
      <w:r>
        <w:rPr>
          <w:rFonts w:ascii="Arial" w:cs="Arial" w:eastAsia="Arial" w:hAnsi="Arial"/>
          <w:b w:val="false"/>
          <w:bCs w:val="false"/>
          <w:i w:val="false"/>
          <w:iCs w:val="false"/>
          <w:color w:val="1A2332"/>
          <w:sz w:val="22"/>
          <w:szCs w:val="22"/>
        </w:rPr>
        <w:t xml:space="preserve">DDD is increasingly important in the UK software market — particularly for FinTech, HealthTech, and enterprise software where business complexity is high. UK-specific applications: FinTech systems (accounts, transactions, compliance obligations are natural DDD domains), NHS systems (patient, episode, prescription, referral are clearly bounded contexts), and insurance (policy, claim, underwriting are separate domains with different models). ClickMasters uses DDD for microservices boundary definition — wrong service boundaries are the most common cause of failed microservices migrations.</w:t>
      </w:r>
    </w:p>
    <w:p>
      <w:pPr>
        <w:spacing w:after="60" w:before="60"/>
      </w:pPr>
    </w:p>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
        <w:gridCol w:w="8906"/>
      </w:tblGrid>
      <w:tr>
        <w:tc>
          <w:tcPr>
            <w:tcW w:type="dxa" w:w="120"/>
            <w:tcBorders>
              <w:top w:val="nil" w:color="FFFFFF" w:sz="0"/>
              <w:left w:val="nil" w:color="FFFFFF" w:sz="0"/>
              <w:bottom w:val="nil" w:color="FFFFFF" w:sz="0"/>
              <w:right w:val="nil" w:color="FFFFFF" w:sz="0"/>
            </w:tcBorders>
            <w:shd w:fill="E8612A" w:val="clear"/>
          </w:tcPr>
          <w:p/>
        </w:tc>
        <w:tc>
          <w:tcPr>
            <w:tcW w:type="dxa" w:w="8906"/>
            <w:tcBorders>
              <w:bottom w:val="single" w:color="D6E4F5" w:sz="1"/>
            </w:tcBorders>
            <w:shd w:fill="FFFFFF" w:val="clear"/>
            <w:tcMar>
              <w:left w:type="dxa" w:w="200"/>
            </w:tcMar>
          </w:tcPr>
          <w:p>
            <w:pPr>
              <w:spacing w:after="100" w:before="100"/>
            </w:pPr>
            <w:r>
              <w:rPr>
                <w:rFonts w:ascii="Arial" w:cs="Arial" w:eastAsia="Arial" w:hAnsi="Arial"/>
                <w:b/>
                <w:bCs/>
                <w:color w:val="0B1F3A"/>
                <w:sz w:val="30"/>
                <w:szCs w:val="30"/>
              </w:rPr>
              <w:t xml:space="preserve">Related Terms</w:t>
            </w:r>
          </w:p>
        </w:tc>
      </w:tr>
    </w:tbl>
    <w:p>
      <w:pPr>
        <w:spacing w:after="60" w:before="60"/>
      </w:pPr>
    </w:p>
    <w:p>
      <w:pPr>
        <w:spacing w:after="160" w:before="100"/>
      </w:pPr>
      <w:r>
        <w:rPr>
          <w:rFonts w:ascii="Arial" w:cs="Arial" w:eastAsia="Arial" w:hAnsi="Arial"/>
          <w:b/>
          <w:bCs/>
          <w:i w:val="false"/>
          <w:iCs w:val="false"/>
          <w:color w:val="0B1F3A"/>
          <w:sz w:val="22"/>
          <w:szCs w:val="22"/>
        </w:rPr>
        <w:t xml:space="preserve">Bounded Context: </w:t>
      </w:r>
      <w:r>
        <w:rPr>
          <w:rFonts w:ascii="Arial" w:cs="Arial" w:eastAsia="Arial" w:hAnsi="Arial"/>
          <w:b w:val="false"/>
          <w:bCs w:val="false"/>
          <w:i w:val="false"/>
          <w:iCs w:val="false"/>
          <w:color w:val="1A2332"/>
          <w:sz w:val="22"/>
          <w:szCs w:val="22"/>
        </w:rPr>
        <w:t xml:space="preserve">DDD pattern — explicit boundary within which a domain model applies.</w:t>
      </w:r>
    </w:p>
    <w:p>
      <w:pPr>
        <w:spacing w:after="160" w:before="100"/>
      </w:pPr>
      <w:r>
        <w:rPr>
          <w:rFonts w:ascii="Arial" w:cs="Arial" w:eastAsia="Arial" w:hAnsi="Arial"/>
          <w:b/>
          <w:bCs/>
          <w:i w:val="false"/>
          <w:iCs w:val="false"/>
          <w:color w:val="0B1F3A"/>
          <w:sz w:val="22"/>
          <w:szCs w:val="22"/>
        </w:rPr>
        <w:t xml:space="preserve">Ubiquitous Language: </w:t>
      </w:r>
      <w:r>
        <w:rPr>
          <w:rFonts w:ascii="Arial" w:cs="Arial" w:eastAsia="Arial" w:hAnsi="Arial"/>
          <w:b w:val="false"/>
          <w:bCs w:val="false"/>
          <w:i w:val="false"/>
          <w:iCs w:val="false"/>
          <w:color w:val="1A2332"/>
          <w:sz w:val="22"/>
          <w:szCs w:val="22"/>
        </w:rPr>
        <w:t xml:space="preserve">Shared vocabulary between developers and domain experts within a bounded context.</w:t>
      </w:r>
    </w:p>
    <w:p>
      <w:pPr>
        <w:spacing w:after="160" w:before="100"/>
      </w:pPr>
      <w:r>
        <w:rPr>
          <w:rFonts w:ascii="Arial" w:cs="Arial" w:eastAsia="Arial" w:hAnsi="Arial"/>
          <w:b/>
          <w:bCs/>
          <w:i w:val="false"/>
          <w:iCs w:val="false"/>
          <w:color w:val="0B1F3A"/>
          <w:sz w:val="22"/>
          <w:szCs w:val="22"/>
        </w:rPr>
        <w:t xml:space="preserve">Aggregate: </w:t>
      </w:r>
      <w:r>
        <w:rPr>
          <w:rFonts w:ascii="Arial" w:cs="Arial" w:eastAsia="Arial" w:hAnsi="Arial"/>
          <w:b w:val="false"/>
          <w:bCs w:val="false"/>
          <w:i w:val="false"/>
          <w:iCs w:val="false"/>
          <w:color w:val="1A2332"/>
          <w:sz w:val="22"/>
          <w:szCs w:val="22"/>
        </w:rPr>
        <w:t xml:space="preserve">DDD pattern — cluster of domain objects treated as a single unit for data changes.</w:t>
      </w:r>
    </w:p>
    <w:p>
      <w:pPr>
        <w:spacing w:after="160" w:before="100"/>
      </w:pPr>
      <w:r>
        <w:rPr>
          <w:rFonts w:ascii="Arial" w:cs="Arial" w:eastAsia="Arial" w:hAnsi="Arial"/>
          <w:b/>
          <w:bCs/>
          <w:i w:val="false"/>
          <w:iCs w:val="false"/>
          <w:color w:val="0B1F3A"/>
          <w:sz w:val="22"/>
          <w:szCs w:val="22"/>
        </w:rPr>
        <w:t xml:space="preserve">Microservices: </w:t>
      </w:r>
      <w:r>
        <w:rPr>
          <w:rFonts w:ascii="Arial" w:cs="Arial" w:eastAsia="Arial" w:hAnsi="Arial"/>
          <w:b w:val="false"/>
          <w:bCs w:val="false"/>
          <w:i w:val="false"/>
          <w:iCs w:val="false"/>
          <w:color w:val="1A2332"/>
          <w:sz w:val="22"/>
          <w:szCs w:val="22"/>
        </w:rPr>
        <w:t xml:space="preserve">Service decomposition should align with DDD bounded contexts.</w:t>
      </w:r>
    </w:p>
    <w:p>
      <w:pPr>
        <w:spacing w:after="60" w:before="60"/>
      </w:pPr>
    </w:p>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
        <w:gridCol w:w="8906"/>
      </w:tblGrid>
      <w:tr>
        <w:tc>
          <w:tcPr>
            <w:tcW w:type="dxa" w:w="120"/>
            <w:tcBorders>
              <w:top w:val="nil" w:color="FFFFFF" w:sz="0"/>
              <w:left w:val="nil" w:color="FFFFFF" w:sz="0"/>
              <w:bottom w:val="nil" w:color="FFFFFF" w:sz="0"/>
              <w:right w:val="nil" w:color="FFFFFF" w:sz="0"/>
            </w:tcBorders>
            <w:shd w:fill="E8612A" w:val="clear"/>
          </w:tcPr>
          <w:p/>
        </w:tc>
        <w:tc>
          <w:tcPr>
            <w:tcW w:type="dxa" w:w="8906"/>
            <w:tcBorders>
              <w:bottom w:val="single" w:color="D6E4F5" w:sz="1"/>
            </w:tcBorders>
            <w:shd w:fill="FFFFFF" w:val="clear"/>
            <w:tcMar>
              <w:left w:type="dxa" w:w="200"/>
            </w:tcMar>
          </w:tcPr>
          <w:p>
            <w:pPr>
              <w:spacing w:after="100" w:before="100"/>
            </w:pPr>
            <w:r>
              <w:rPr>
                <w:rFonts w:ascii="Arial" w:cs="Arial" w:eastAsia="Arial" w:hAnsi="Arial"/>
                <w:b/>
                <w:bCs/>
                <w:color w:val="0B1F3A"/>
                <w:sz w:val="30"/>
                <w:szCs w:val="30"/>
              </w:rPr>
              <w:t xml:space="preserve">Related Pages</w:t>
            </w:r>
          </w:p>
        </w:tc>
      </w:tr>
    </w:tbl>
    <w:p>
      <w:pPr>
        <w:spacing w:after="60" w:before="60"/>
      </w:pPr>
    </w:p>
    <w:p>
      <w:pPr>
        <w:pStyle w:val="ListParagraph"/>
        <w:numPr>
          <w:ilvl w:val="0"/>
          <w:numId w:val="2"/>
        </w:numPr>
        <w:spacing w:after="60" w:before="60"/>
      </w:pPr>
      <w:r>
        <w:rPr>
          <w:rFonts w:ascii="Arial" w:cs="Arial" w:eastAsia="Arial" w:hAnsi="Arial"/>
          <w:b w:val="false"/>
          <w:bCs w:val="false"/>
          <w:color w:val="1A2332"/>
          <w:sz w:val="22"/>
          <w:szCs w:val="22"/>
        </w:rPr>
        <w:t xml:space="preserve">Microservices Architecture UK: /microservices-architecture/</w:t>
      </w:r>
    </w:p>
    <w:p>
      <w:pPr>
        <w:pStyle w:val="ListParagraph"/>
        <w:numPr>
          <w:ilvl w:val="0"/>
          <w:numId w:val="2"/>
        </w:numPr>
        <w:spacing w:after="60" w:before="60"/>
      </w:pPr>
      <w:r>
        <w:rPr>
          <w:rFonts w:ascii="Arial" w:cs="Arial" w:eastAsia="Arial" w:hAnsi="Arial"/>
          <w:b w:val="false"/>
          <w:bCs w:val="false"/>
          <w:color w:val="1A2332"/>
          <w:sz w:val="22"/>
          <w:szCs w:val="22"/>
        </w:rPr>
        <w:t xml:space="preserve">Software Architecture Review UK: /software-architecture-review/</w:t>
      </w:r>
    </w:p>
    <w:p>
      <w:pPr>
        <w:pStyle w:val="ListParagraph"/>
        <w:numPr>
          <w:ilvl w:val="0"/>
          <w:numId w:val="2"/>
        </w:numPr>
        <w:spacing w:after="60" w:before="60"/>
      </w:pPr>
      <w:r>
        <w:rPr>
          <w:rFonts w:ascii="Arial" w:cs="Arial" w:eastAsia="Arial" w:hAnsi="Arial"/>
          <w:b w:val="false"/>
          <w:bCs w:val="false"/>
          <w:color w:val="1A2332"/>
          <w:sz w:val="22"/>
          <w:szCs w:val="22"/>
        </w:rPr>
        <w:t xml:space="preserve">FinTech Software Development UK: /fintech-software-development/</w:t>
      </w:r>
    </w:p>
    <w:p>
      <w:pPr>
        <w:spacing w:after="60" w:before="60"/>
      </w:pPr>
    </w:p>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8612A" w:sz="1"/>
              <w:left w:val="single" w:color="E8612A" w:sz="1"/>
              <w:bottom w:val="single" w:color="E8612A" w:sz="1"/>
              <w:right w:val="single" w:color="E8612A" w:sz="1"/>
            </w:tcBorders>
            <w:shd w:fill="0B1F3A" w:val="clear"/>
            <w:tcMar>
              <w:top w:type="dxa" w:w="240"/>
              <w:left w:type="dxa" w:w="280"/>
              <w:bottom w:type="dxa" w:w="240"/>
              <w:right w:type="dxa" w:w="280"/>
            </w:tcMar>
          </w:tcPr>
          <w:p>
            <w:pPr>
              <w:spacing w:after="100" w:before="0"/>
            </w:pPr>
            <w:r>
              <w:rPr>
                <w:rFonts w:ascii="Arial" w:cs="Arial" w:eastAsia="Arial" w:hAnsi="Arial"/>
                <w:b/>
                <w:bCs/>
                <w:color w:val="FFFFFF"/>
                <w:sz w:val="28"/>
                <w:szCs w:val="28"/>
              </w:rPr>
              <w:t xml:space="preserve">Expert Advice on Domain-Driven Design</w:t>
            </w:r>
          </w:p>
          <w:p>
            <w:pPr>
              <w:spacing w:after="160" w:before="0"/>
            </w:pPr>
            <w:r>
              <w:rPr>
                <w:rFonts w:ascii="Arial" w:cs="Arial" w:eastAsia="Arial" w:hAnsi="Arial"/>
                <w:color w:val="BDD0E8"/>
                <w:sz w:val="22"/>
                <w:szCs w:val="22"/>
              </w:rPr>
              <w:t xml:space="preserve">ClickMasters applies Domain-Driven Design in every project. Free consultation.</w:t>
            </w:r>
          </w:p>
          <w:p>
            <w:pPr>
              <w:spacing w:after="0" w:before="0"/>
            </w:pPr>
            <w:r>
              <w:rPr>
                <w:rFonts w:ascii="Arial" w:cs="Arial" w:eastAsia="Arial" w:hAnsi="Arial"/>
                <w:b/>
                <w:bCs/>
                <w:color w:val="E8612A"/>
                <w:sz w:val="22"/>
                <w:szCs w:val="22"/>
              </w:rPr>
              <w:t xml:space="preserve">→ clickmasterssoftwaredevelopmentcompany.co.uk/contact/</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BF2FA" w:sz="1"/>
              <w:left w:val="single" w:color="EBF2FA" w:sz="1"/>
              <w:bottom w:val="single" w:color="EBF2FA" w:sz="1"/>
              <w:right w:val="single" w:color="EBF2FA" w:sz="1"/>
            </w:tcBorders>
            <w:shd w:fill="EBF2FA" w:val="clear"/>
            <w:tcMar>
              <w:top w:type="dxa" w:w="160"/>
              <w:left w:type="dxa" w:w="200"/>
              <w:bottom w:type="dxa" w:w="160"/>
              <w:right w:type="dxa" w:w="200"/>
            </w:tcMar>
          </w:tcPr>
          <w:p>
            <w:pPr>
              <w:spacing w:after="0" w:before="0"/>
            </w:pPr>
            <w:r>
              <w:rPr>
                <w:rFonts w:ascii="Arial" w:cs="Arial" w:eastAsia="Arial" w:hAnsi="Arial"/>
                <w:b w:val="false"/>
                <w:bCs w:val="false"/>
                <w:i w:val="false"/>
                <w:iCs w:val="false"/>
                <w:color w:val="5A6E82"/>
                <w:sz w:val="18"/>
                <w:szCs w:val="18"/>
              </w:rPr>
              <w:t xml:space="preserve">DefinedTerm + FAQPage | "what is domain driven design" (500/mo)</w:t>
            </w:r>
          </w:p>
        </w:tc>
      </w:tr>
    </w:tbl>
    <w:sectPr>
      <w:pgSz w:w="11906" w:h="16838"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spacing w:after="60" w:before="60"/>
        <w:ind w:left="720" w:hanging="360"/>
      </w:pPr>
      <w:rPr>
        <w:rFonts w:ascii="Arial" w:cs="Arial" w:eastAsia="Arial" w:hAnsi="Arial"/>
        <w:sz w:val="22"/>
        <w:szCs w:val="22"/>
      </w:rPr>
    </w:lvl>
  </w:abstractNum>
  <w:abstractNum w:abstractNumId="3" w15:restartNumberingAfterBreak="0">
    <w:multiLevelType w:val="hybridMultilevel"/>
    <w:lvl w:ilvl="0" w15:tentative="1">
      <w:start w:val="1"/>
      <w:numFmt w:val="bullet"/>
      <w:lvlText w:val="–"/>
      <w:lvlJc w:val="left"/>
      <w:pPr>
        <w:spacing w:after="60" w:before="60"/>
        <w:ind w:left="720" w:hanging="360"/>
      </w:pPr>
      <w:rPr>
        <w:rFonts w:ascii="Arial" w:cs="Arial" w:eastAsia="Arial" w:hAnsi="Arial"/>
        <w:color w:val="1A4A8A"/>
        <w:sz w:val="22"/>
        <w:szCs w:val="22"/>
      </w:rPr>
    </w:lvl>
  </w:abstractNum>
  <w:abstractNum w:abstractNumId="4" w15:restartNumberingAfterBreak="0">
    <w:multiLevelType w:val="hybridMultilevel"/>
    <w:lvl w:ilvl="0" w15:tentative="1">
      <w:start w:val="1"/>
      <w:numFmt w:val="bullet"/>
      <w:lvlText w:val="✓"/>
      <w:lvlJc w:val="left"/>
      <w:pPr>
        <w:spacing w:after="60" w:before="60"/>
        <w:ind w:left="720" w:hanging="360"/>
      </w:pPr>
      <w:rPr>
        <w:rFonts w:ascii="Arial" w:cs="Arial" w:eastAsia="Arial" w:hAnsi="Arial"/>
        <w:b/>
        <w:bCs/>
        <w:color w:val="1A6B47"/>
        <w:sz w:val="22"/>
        <w:szCs w:val="22"/>
      </w:rPr>
    </w:lvl>
  </w:abstractNum>
  <w:num w:numId="1">
    <w:abstractNumId w:val="1"/>
    <w:lvlOverride w:ilvl="0">
      <w:startOverride w:val="1"/>
    </w:lvlOverride>
  </w:num>
  <w:num w:numId="2">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60"/>
      <w:outlineLvl w:val="0"/>
    </w:pPr>
    <w:rPr>
      <w:rFonts w:ascii="Arial" w:cs="Arial" w:eastAsia="Arial" w:hAnsi="Arial"/>
      <w:b/>
      <w:bCs/>
      <w:color w:val="0B1F3A"/>
      <w:sz w:val="40"/>
      <w:szCs w:val="40"/>
    </w:rPr>
  </w:style>
  <w:style w:type="paragraph" w:styleId="Heading2">
    <w:name w:val="Heading 2"/>
    <w:basedOn w:val="Normal"/>
    <w:next w:val="Normal"/>
    <w:qFormat/>
    <w:pPr>
      <w:spacing w:after="140" w:before="300"/>
      <w:outlineLvl w:val="1"/>
    </w:pPr>
    <w:rPr>
      <w:rFonts w:ascii="Arial" w:cs="Arial" w:eastAsia="Arial" w:hAnsi="Arial"/>
      <w:b/>
      <w:bCs/>
      <w:color w:val="0B1F3A"/>
      <w:sz w:val="30"/>
      <w:szCs w:val="3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2026-05-21T16:31:30.355Z</dcterms:created>
  <dcterms:modified xsi:type="dcterms:W3CDTF">2026-05-21T16:31:30.355Z</dcterms:modified>
</cp:coreProperties>
</file>

<file path=docProps/custom.xml><?xml version="1.0" encoding="utf-8"?>
<Properties xmlns="http://schemas.openxmlformats.org/officeDocument/2006/custom-properties" xmlns:vt="http://schemas.openxmlformats.org/officeDocument/2006/docPropsVTypes"/>
</file>