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Software Development Bristol | ClickMasters
META DESC: PropTech software development in Bristol. MLRs 2017 (AML). £25,000–£150,000+. UK-based team. Free consultation.
SLUG: /proptech-software-development-bristol/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Bristol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Bristol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Software Development Bristol — MLRs 2017 (AML),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Bristol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PropTech software development in Bristol and South West England with MLRs 2017 (AML),  UK GDPR compliance built in. Starting from £25,000.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Bristol PropTech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is home to Hargreaves Lansdown and a growing PropTech cluster, with the University of Bristol computing department driving strong technical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has a significant property technology sector — driven by the South West's active property market and a cluster of PropTech startups in the city. Savills Bristol, Knight Frank Bristol, and a growing number of independent estate agents use digital technology for property management and client engagement.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 for South West estate agents: MLRs 2017, CDD/EDD, MLRO dashboard, HMRC supervision.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Land Registry API: HMLR Search for Land and Property, Price Paid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GoCardless rental payment automation: variable mandates, retry logic, landlord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RICS-aware valuation: AVM methodology disclosure, confidence intervals.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PropTech Software Development Bristol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MLRs 2017 (AML)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MLRs 2017 (AML), UK GDPR, Land Registry API, RICS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PropTech requirements apply to Bristol estate agents?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Bristol estate agents are HMRC-supervised for AML under the MLRs 2017. Same requirements as London and UK-wide — CDD for buyers/sellers, EDD for high-value transactions, MLRO appointment.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there a Bristol PropTech ecosystem?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Bristol has a growing PropTech cluster, supported by the University of Bristol and Hargreaves Lansdown's FinTech ecosystem. The South West England property market is active and increasingly digitised.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Bristol: /custom-software-development-bristol/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PropTech Software Consultation — Bristol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PropTech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Bristol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PropTech software for Bristol and South West England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"proptech software development bristol" (~60/mo)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2026-05-23T11:19:13.192Z</dcterms:created>
  <dcterms:modified xsi:type="dcterms:W3CDTF">2026-05-23T11:19:13.192Z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