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to Modernise a Legacy Software System UK — Step-by-Step Guide 2025 | ClickMasters
META DESC: Legacy system modernisation in the UK: use the strangler fig pattern (incremental replacement), not big bang rewrite. Start with a business logic audit, install...
SLUG: /how-to-modernise-legacy-system-uk/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Systems Engineering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to Modernise a Legacy Software System UK — Step-by-Step Guide 2025</w:t>
      </w:r>
    </w:p>
    <w:p>
      <w:pPr>
        <w:spacing w:after="60" w:before="60"/>
      </w:pPr>
    </w:p>
    <w:p>
      <w:pPr>
        <w:pStyle w:val="Heading1"/>
        <w:spacing w:after="160" w:before="360"/>
      </w:pPr>
      <w:r>
        <w:rPr>
          <w:rFonts w:ascii="Arial" w:cs="Arial" w:eastAsia="Arial" w:hAnsi="Arial"/>
          <w:b/>
          <w:bCs/>
          <w:color w:val="0B1F3A"/>
          <w:sz w:val="40"/>
          <w:szCs w:val="40"/>
        </w:rPr>
        <w:t xml:space="preserve">How to Modernise a Legacy Software System in the UK — Complete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UK-Focused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Step-by-Step</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Legacy system modernisation in the UK: use the strangler fig pattern (incremental replacement), not big bang rewrite. Start with a business logic audit, install an API facade layer, extract modules one at a time, test in parallel, and decommission incrementally. Include GDPR data migration compliance from day one. Timeline: 6–24 months depending on system size. Costs: £25,000–£150,000.</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Legacy system modernisation is one of the highest-risk software projects a UK business can undertake — but also potentially the most valuable. The most common cause of failure is attempting to replace the legacy system all at once. This guide explains the incremental strangler fig approach used by ClickMasters — delivering value from week 8 while maintaining business continuity.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Step-by-Step 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Legacy System Audit (Weeks 1–4)</w:t>
            </w:r>
          </w:p>
          <w:p>
            <w:pPr>
              <w:spacing w:after="0" w:before="0"/>
            </w:pPr>
            <w:r>
              <w:rPr>
                <w:rFonts w:ascii="Arial" w:cs="Arial" w:eastAsia="Arial" w:hAnsi="Arial"/>
                <w:color w:val="1A2332"/>
                <w:sz w:val="22"/>
                <w:szCs w:val="22"/>
              </w:rPr>
              <w:t xml:space="preserve">Understand what you have before touching anything. Activities: dependency mapping (what systems depend on this legacy system and vice versa), business logic extraction (document every calculation, rule, and workflow embedded in the code — this is often the most valuable part of legacy systems), data model documentation (all tables, relationships, and data quality issues), and technical debt quantification (estimate cost of addressing vs maintaining). Budget: £5,000–£15,000 for this phase.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UK GDPR and Data Assessment (Week 2–4)</w:t>
            </w:r>
          </w:p>
          <w:p>
            <w:pPr>
              <w:spacing w:after="0" w:before="0"/>
            </w:pPr>
            <w:r>
              <w:rPr>
                <w:rFonts w:ascii="Arial" w:cs="Arial" w:eastAsia="Arial" w:hAnsi="Arial"/>
                <w:color w:val="1A2332"/>
                <w:sz w:val="22"/>
                <w:szCs w:val="22"/>
              </w:rPr>
              <w:t xml:space="preserve">Legacy systems often have compliance problems: personal data without encryption, no right to erasure mechanism, no audit logging, outdated retention periods. Document: all personal data in the system, current encryption status (often none), data subject rights capability, retention policy (often undefined). This assessment determines what compliance work the modernisation must address — typically 15–25% of the total project cost.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Facade Layer Installation (Week 4–6)</w:t>
            </w:r>
          </w:p>
          <w:p>
            <w:pPr>
              <w:spacing w:after="0" w:before="0"/>
            </w:pPr>
            <w:r>
              <w:rPr>
                <w:rFonts w:ascii="Arial" w:cs="Arial" w:eastAsia="Arial" w:hAnsi="Arial"/>
                <w:color w:val="1A2332"/>
                <w:sz w:val="22"/>
                <w:szCs w:val="22"/>
              </w:rPr>
              <w:t xml:space="preserve">Install an API Gateway or proxy layer in front of the legacy system. Initially, all requests pass through to the legacy system unchanged. This is the strangler fig's trunk — it becomes the control point for routing traffic to new services as they are built. Cost: £3,000–£8,000. Risk: low — no changes to the legacy system itself.</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Select First Module to Extract (Week 5–6)</w:t>
            </w:r>
          </w:p>
          <w:p>
            <w:pPr>
              <w:spacing w:after="0" w:before="0"/>
            </w:pPr>
            <w:r>
              <w:rPr>
                <w:rFonts w:ascii="Arial" w:cs="Arial" w:eastAsia="Arial" w:hAnsi="Arial"/>
                <w:color w:val="1A2332"/>
                <w:sz w:val="22"/>
                <w:szCs w:val="22"/>
              </w:rPr>
              <w:t xml:space="preserve">Choose the first module to extract based on: low business risk (not the payment processing module — start with reporting or notifications), high value (a module that is blocking a needed business capability), clean boundaries (minimal dependencies on other legacy modules), and well-understood requirements (don't start with the most complex business logic). The first extraction is always the hardest and slowest.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Build New Module in Parallel (Weeks 6–16)</w:t>
            </w:r>
          </w:p>
          <w:p>
            <w:pPr>
              <w:spacing w:after="0" w:before="0"/>
            </w:pPr>
            <w:r>
              <w:rPr>
                <w:rFonts w:ascii="Arial" w:cs="Arial" w:eastAsia="Arial" w:hAnsi="Arial"/>
                <w:color w:val="1A2332"/>
                <w:sz w:val="22"/>
                <w:szCs w:val="22"/>
              </w:rPr>
              <w:t xml:space="preserve">Build the new module as a modern microservice or modular monolith component. Key practice: run old and new in parallel, comparing outputs on 10% of traffic before any cutover. Discrepancies reveal business logic that wasn't documented. Test thoroughly. Include UK GDPR compliance from the start of the new module — don't replicate the compliance debt of the legacy system.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6</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Staged Traffic Cutover (Weeks 16–18)</w:t>
            </w:r>
          </w:p>
          <w:p>
            <w:pPr>
              <w:spacing w:after="0" w:before="0"/>
            </w:pPr>
            <w:r>
              <w:rPr>
                <w:rFonts w:ascii="Arial" w:cs="Arial" w:eastAsia="Arial" w:hAnsi="Arial"/>
                <w:color w:val="1A2332"/>
                <w:sz w:val="22"/>
                <w:szCs w:val="22"/>
              </w:rPr>
              <w:t xml:space="preserve">Shift traffic to the new module: 1% → 10% → 50% → 100%, with monitoring at each stage. Keep the legacy module available for 30 days after 100% cutover as a rollback option. Once confirmed stable, mark the legacy module as dormant but don't delete it yet.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7</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Repeat for Each Module — Decommission Legacy (Months 3–18+)</w:t>
            </w:r>
          </w:p>
          <w:p>
            <w:pPr>
              <w:spacing w:after="0" w:before="0"/>
            </w:pPr>
            <w:r>
              <w:rPr>
                <w:rFonts w:ascii="Arial" w:cs="Arial" w:eastAsia="Arial" w:hAnsi="Arial"/>
                <w:color w:val="1A2332"/>
                <w:sz w:val="22"/>
                <w:szCs w:val="22"/>
              </w:rPr>
              <w:t xml:space="preserve">Repeat the extract-parallel-cutover pattern for each remaining module. The pattern gets faster with each iteration. When all modules are extracted: run the legacy system for one month with zero traffic as final verification. Then decommission. Delete legacy data per your UK GDPR retention policy — data that is no longer needed must be deleted.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legacy system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Small legacy system (5–10 modules): 4–8 months. Medium (10–25 modules): 8–18 months. Large enterprise (25+ modules): 18–36 months. Each module extraction typically takes 4–8 weeks for the first few, accelerating to 2–4 weeks as the team builds a repeatable pattern.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biggest risk in legacy modernisation?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biggest risk is undocumented business logic. The legacy system often contains 15+ years of business rules embedded in code that was never documented. The parallel-run approach (running old and new simultaneously and comparing outputs) is the most reliable way to discover and document this logic. Do not skip the parallel-run phase — it is the difference between a successful modernisation and a catastrophic failure.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Project Rescue UK: /software-project-rescue/</w:t>
      </w: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Help</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Systems Engineering Team</w:t>
            </w:r>
          </w:p>
          <w:p>
            <w:pPr>
              <w:spacing w:after="80" w:before="0"/>
            </w:pPr>
            <w:r>
              <w:rPr>
                <w:rFonts w:ascii="Arial" w:cs="Arial" w:eastAsia="Arial" w:hAnsi="Arial"/>
                <w:b/>
                <w:bCs/>
                <w:color w:val="E8612A"/>
                <w:sz w:val="20"/>
                <w:szCs w:val="20"/>
              </w:rPr>
              <w:t xml:space="preserve">How to Modernise a Legacy Software System in the UK specialists</w:t>
            </w:r>
          </w:p>
          <w:p>
            <w:pPr>
              <w:spacing w:after="0" w:before="0"/>
            </w:pPr>
            <w:r>
              <w:rPr>
                <w:rFonts w:ascii="Arial" w:cs="Arial" w:eastAsia="Arial" w:hAnsi="Arial"/>
                <w:color w:val="1A2332"/>
                <w:sz w:val="20"/>
                <w:szCs w:val="20"/>
              </w:rPr>
              <w:t xml:space="preserve">This guide reflects direct experience building these systems.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HowTo + FAQPage | "how to modernise legacy software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2026-05-22T15:26:35.651Z</dcterms:created>
  <dcterms:modified xsi:type="dcterms:W3CDTF">2026-05-22T15:26:35.651Z</dcterms:modified>
</cp:coreProperties>
</file>

<file path=docProps/custom.xml><?xml version="1.0" encoding="utf-8"?>
<Properties xmlns="http://schemas.openxmlformats.org/officeDocument/2006/custom-properties" xmlns:vt="http://schemas.openxmlformats.org/officeDocument/2006/docPropsVTypes"/>
</file>