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RetailTech UK | ClickMasters
META DESC: Legacy Modernisation for UK RetailTech. UK GDPR. £30,000–£150,000.
SLUG: /retailtech-legacy-modernisation/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RetailTech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RetailTech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RetailTech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RetailTech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RetailTech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RetailTech businesses with UK GDPR,  PECR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RetailTech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UK Retail Legacy Platform Landscape: </w:t>
      </w:r>
      <w:r>
        <w:rPr>
          <w:rFonts w:ascii="Arial" w:cs="Arial" w:eastAsia="Arial" w:hAnsi="Arial"/>
          <w:b w:val="false"/>
          <w:bCs w:val="false"/>
          <w:i w:val="false"/>
          <w:iCs w:val="false"/>
          <w:color w:val="1A2332"/>
          <w:sz w:val="22"/>
          <w:szCs w:val="22"/>
        </w:rPr>
        <w:t xml:space="preserve">UK retail legacy platforms: Magento 1 (end-of-life January 2020 — no security patches for 5+ years, PCI-DSS non-compliant), Magento 2 (supported but increasingly dated for headless-first commerce), Salesforce Commerce Cloud (high licence cost — many UK mid-market retailers migrating out), Hybris SAP Commerce (enterprise, complex, expensive), and bespoke LAMP stack (PHP 5/7, jQuery — common in UK regional retailers built 2008–2015). ClickMasters has migrated all these to modern React/Next.js stacks.</w:t>
      </w:r>
    </w:p>
    <w:p>
      <w:pPr>
        <w:spacing w:after="60" w:before="60"/>
      </w:pPr>
    </w:p>
    <w:p>
      <w:pPr>
        <w:spacing w:after="160" w:before="100"/>
      </w:pPr>
      <w:r>
        <w:rPr>
          <w:rFonts w:ascii="Arial" w:cs="Arial" w:eastAsia="Arial" w:hAnsi="Arial"/>
          <w:b/>
          <w:bCs/>
          <w:i w:val="false"/>
          <w:iCs w:val="false"/>
          <w:color w:val="E8612A"/>
          <w:sz w:val="22"/>
          <w:szCs w:val="22"/>
        </w:rPr>
        <w:t xml:space="preserve">PCI-DSS Compliance in Retail Legacy Migration: </w:t>
      </w:r>
      <w:r>
        <w:rPr>
          <w:rFonts w:ascii="Arial" w:cs="Arial" w:eastAsia="Arial" w:hAnsi="Arial"/>
          <w:b w:val="false"/>
          <w:bCs w:val="false"/>
          <w:i w:val="false"/>
          <w:iCs w:val="false"/>
          <w:color w:val="1A2332"/>
          <w:sz w:val="22"/>
          <w:szCs w:val="22"/>
        </w:rPr>
        <w:t xml:space="preserve">Legacy retail systems frequently handle card data directly (SAQ-D scope — 329 requirements, £15,000–£80,000 annual compliance). Migration to headless + Stripe Elements: SAQ-A scope (22 requirements, £2,000–£8,000 annual compliance). UK legacy migration PCI business case: savings of £13,000–£72,000 per year on PCI compliance costs alone. Additional benefit: PCI-DSS SAQ-D non-compliance risk (legacy systems often have unpatched vulnerabilities — PCI breach carries significant fines and reputational damage).</w:t>
      </w:r>
    </w:p>
    <w:p>
      <w:pPr>
        <w:spacing w:after="60" w:before="60"/>
      </w:pPr>
    </w:p>
    <w:p>
      <w:pPr>
        <w:spacing w:after="160" w:before="100"/>
      </w:pPr>
      <w:r>
        <w:rPr>
          <w:rFonts w:ascii="Arial" w:cs="Arial" w:eastAsia="Arial" w:hAnsi="Arial"/>
          <w:b/>
          <w:bCs/>
          <w:i w:val="false"/>
          <w:iCs w:val="false"/>
          <w:color w:val="E8612A"/>
          <w:sz w:val="22"/>
          <w:szCs w:val="22"/>
        </w:rPr>
        <w:t xml:space="preserve">PECR and Cookie Compliance in Retail Legacy Migration: </w:t>
      </w:r>
      <w:r>
        <w:rPr>
          <w:rFonts w:ascii="Arial" w:cs="Arial" w:eastAsia="Arial" w:hAnsi="Arial"/>
          <w:b w:val="false"/>
          <w:bCs w:val="false"/>
          <w:i w:val="false"/>
          <w:iCs w:val="false"/>
          <w:color w:val="1A2332"/>
          <w:sz w:val="22"/>
          <w:szCs w:val="22"/>
        </w:rPr>
        <w:t xml:space="preserve">UK retail legacy platforms frequently have non-compliant cookie implementations: pre-ticked boxes (PECR non-compliant), cookies fired before consent (PECR non-compliant), and no legitimate rejection mechanism (PECR non-compliant). ICO enforcement has increased significantly — UK retailers receiving PECR enforcement notices in 2023–2025. Legacy migration is the opportunity for PECR compliance: implement OneTrust/CookieYes (IAB TCF v2.2), Google Tag Manager consent mode, and cookie audit (delete non-essential cookies loaded pre-consent).</w:t>
      </w:r>
    </w:p>
    <w:p>
      <w:pPr>
        <w:spacing w:after="60" w:before="60"/>
      </w:pPr>
    </w:p>
    <w:p>
      <w:pPr>
        <w:spacing w:after="160" w:before="100"/>
      </w:pPr>
      <w:r>
        <w:rPr>
          <w:rFonts w:ascii="Arial" w:cs="Arial" w:eastAsia="Arial" w:hAnsi="Arial"/>
          <w:b/>
          <w:bCs/>
          <w:i w:val="false"/>
          <w:iCs w:val="false"/>
          <w:color w:val="E8612A"/>
          <w:sz w:val="22"/>
          <w:szCs w:val="22"/>
        </w:rPr>
        <w:t xml:space="preserve">Replatforming Data Migration — Consumer Rights Act: </w:t>
      </w:r>
      <w:r>
        <w:rPr>
          <w:rFonts w:ascii="Arial" w:cs="Arial" w:eastAsia="Arial" w:hAnsi="Arial"/>
          <w:b w:val="false"/>
          <w:bCs w:val="false"/>
          <w:i w:val="false"/>
          <w:iCs w:val="false"/>
          <w:color w:val="1A2332"/>
          <w:sz w:val="22"/>
          <w:szCs w:val="22"/>
        </w:rPr>
        <w:t xml:space="preserve">UK Consumer Rights Act 2015: 14-day statutory right to withdraw from distance sales. Legacy replatforming must migrate: order history (returns eligibility check), subscription status (cancellation rights), and purchase records (warranty claims). Order data migration: HMRC 6-year retention requirement means order data cannot be simply deleted — migrate complete order history with all purchase details. Consumer communications: previous order confirmation emails are consumer-facing records — migration audit trail needed.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PECR, Consumer Rights Act, PCI-DSS, Equality Act,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RetailTech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 UK retail replatforming project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retail replatforming timeline: Technical Discovery (2–3 weeks), platform build (12–20 weeks), data migration (2–4 weeks), UAT and performance testing (2–3 weeks), go-live preparation (1 week). Total: 18–28 weeks for a mid-size UK retailer. SEO migration critical path: URL structure, canonical tags, XML sitemap — redirect mapping must be complete before go-live. ClickMasters has zero-downtime retail replatformings with immediate organic search ranking preservation.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SEO risk of UK retail replatforming?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Retail replatforming is high SEO risk — botched migrations can destroy years of organic search equity. Key risks: broken redirects (Google loses link equity), URL structure changes without 301 redirects, XML sitemap not updated, canonical tag errors, and Core Web Vitals regression (new platform slower than old). ClickMasters mitigation: pre-migration URL audit (every indexed URL mapped to redirect), SEO technical checklist (schema markup, canonical, hreflang), and post-migration monitoring (Search Console errors checked daily for 30 days).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RetailTech Software Development UK: /ecommerce-software-development/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Shopify vs WooCommerce vs Custom UK: /shopify-vs-woocommerce-vs-custom-uk/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RetailTech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RetailTech Team</w:t>
            </w:r>
          </w:p>
          <w:p>
            <w:pPr>
              <w:spacing w:after="80" w:before="0"/>
            </w:pPr>
            <w:r>
              <w:rPr>
                <w:rFonts w:ascii="Arial" w:cs="Arial" w:eastAsia="Arial" w:hAnsi="Arial"/>
                <w:b/>
                <w:bCs/>
                <w:color w:val="E8612A"/>
                <w:sz w:val="20"/>
                <w:szCs w:val="20"/>
              </w:rPr>
              <w:t xml:space="preserve">RetailTech specialists</w:t>
            </w:r>
          </w:p>
          <w:p>
            <w:pPr>
              <w:spacing w:after="0" w:before="0"/>
            </w:pPr>
            <w:r>
              <w:rPr>
                <w:rFonts w:ascii="Arial" w:cs="Arial" w:eastAsia="Arial" w:hAnsi="Arial"/>
                <w:color w:val="1A2332"/>
                <w:sz w:val="20"/>
                <w:szCs w:val="20"/>
              </w:rPr>
              <w:t xml:space="preserve">Delivering Legacy Modernisation for UK RetailTech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"retailtech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2026-05-31T03:27:13.561Z</dcterms:created>
  <dcterms:modified xsi:type="dcterms:W3CDTF">2026-05-31T03:27:13.561Z</dcterms:modified>
</cp:coreProperties>
</file>

<file path=docProps/custom.xml><?xml version="1.0" encoding="utf-8"?>
<Properties xmlns="http://schemas.openxmlformats.org/officeDocument/2006/custom-properties" xmlns:vt="http://schemas.openxmlformats.org/officeDocument/2006/docPropsVTypes"/>
</file>