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LogTech UK | ClickMasters
META DESC: Legacy Modernisation for UK LogTech. UK GDPR. £35,000–£160,000.
SLUG: /logtech-legacy-modernisation/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LogTech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LogTech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LogTech businesses with UK GDPR,  HMRC CDS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LogTech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LogTech Legacy Platform Landscape: </w:t>
      </w:r>
      <w:r>
        <w:rPr>
          <w:rFonts w:ascii="Arial" w:cs="Arial" w:eastAsia="Arial" w:hAnsi="Arial"/>
          <w:b w:val="false"/>
          <w:bCs w:val="false"/>
          <w:i w:val="false"/>
          <w:iCs w:val="false"/>
          <w:color w:val="1A2332"/>
          <w:sz w:val="22"/>
          <w:szCs w:val="22"/>
        </w:rPr>
        <w:t xml:space="preserve">Common UK LogTech legacy platforms: Paragon (routing and scheduling — widely used but aging), Mandata TMS (UK haulage — established legacy), CargoWise One (freight forwarding — complex migration), in-house AS400/iSeries systems (UK distribution companies from the 1990s), and legacy Oracle Transport Management deployments. Migration drivers: HMRC CDS (legacy systems cannot produce HMRC Customs Declaration Service XML natively), DVLA digital integration (vehicle licensing and compliance — legacy systems cannot integrate modern DVLA APIs), and real-time tracking expectations (modern shipper-facing tracking that legacy systems cannot provide).</w:t>
      </w:r>
    </w:p>
    <w:p>
      <w:pPr>
        <w:spacing w:after="60" w:before="60"/>
      </w:pPr>
    </w:p>
    <w:p>
      <w:pPr>
        <w:spacing w:after="160" w:before="100"/>
      </w:pPr>
      <w:r>
        <w:rPr>
          <w:rFonts w:ascii="Arial" w:cs="Arial" w:eastAsia="Arial" w:hAnsi="Arial"/>
          <w:b/>
          <w:bCs/>
          <w:i w:val="false"/>
          <w:iCs w:val="false"/>
          <w:color w:val="E8612A"/>
          <w:sz w:val="22"/>
          <w:szCs w:val="22"/>
        </w:rPr>
        <w:t xml:space="preserve">HMRC CDS Migration for Legacy Freight Systems: </w:t>
      </w:r>
      <w:r>
        <w:rPr>
          <w:rFonts w:ascii="Arial" w:cs="Arial" w:eastAsia="Arial" w:hAnsi="Arial"/>
          <w:b w:val="false"/>
          <w:bCs w:val="false"/>
          <w:i w:val="false"/>
          <w:iCs w:val="false"/>
          <w:color w:val="1A2332"/>
          <w:sz w:val="22"/>
          <w:szCs w:val="22"/>
        </w:rPr>
        <w:t xml:space="preserve">HMRC Customs Declaration Service migration from legacy: (1) legacy freight system produces manual customs entries (Customs Procedure Code, commodity codes, EORI numbers entered manually) — high error rate, high cost. (2) CDS migration: map legacy freight data to CDS XML schema, build automated CDS submission API, test against HMRC CDS sandbox (28 test scenarios). (3) HMRC CHIEF to CDS transition (CHIEF was decommissioned in 2023 — freight forwarders still on CHIEF-based legacy systems face urgent migration). ClickMasters LogTech legacy modernisation always includes HMRC CDS as a primary migration deliverable.</w:t>
      </w:r>
    </w:p>
    <w:p>
      <w:pPr>
        <w:spacing w:after="60" w:before="60"/>
      </w:pPr>
    </w:p>
    <w:p>
      <w:pPr>
        <w:spacing w:after="160" w:before="100"/>
      </w:pPr>
      <w:r>
        <w:rPr>
          <w:rFonts w:ascii="Arial" w:cs="Arial" w:eastAsia="Arial" w:hAnsi="Arial"/>
          <w:b/>
          <w:bCs/>
          <w:i w:val="false"/>
          <w:iCs w:val="false"/>
          <w:color w:val="E8612A"/>
          <w:sz w:val="22"/>
          <w:szCs w:val="22"/>
        </w:rPr>
        <w:t xml:space="preserve">Strangler Fig for UK Logistics SaaS Transition: </w:t>
      </w:r>
      <w:r>
        <w:rPr>
          <w:rFonts w:ascii="Arial" w:cs="Arial" w:eastAsia="Arial" w:hAnsi="Arial"/>
          <w:b w:val="false"/>
          <w:bCs w:val="false"/>
          <w:i w:val="false"/>
          <w:iCs w:val="false"/>
          <w:color w:val="1A2332"/>
          <w:sz w:val="22"/>
          <w:szCs w:val="22"/>
        </w:rPr>
        <w:t xml:space="preserve">UK logistics companies often cannot accept downtime — deliveries operate 24/7. Strangler Fig for LogTech: (1) new platform receives all new customer onboarding from day 1 (legacy serves existing customers), (2) existing customers migrated lane-by-lane (one trade lane / carrier relationship at a time), (3) historical shipment data migrated in background (no operational disruption), (4) legacy decommissioned when last customer migrates. DVSA OCRS (Operator Compliance Risk Score): migration must not break DVSA reporting — compliance data continuity critical throughout migration.</w:t>
      </w:r>
    </w:p>
    <w:p>
      <w:pPr>
        <w:spacing w:after="60" w:before="60"/>
      </w:pPr>
    </w:p>
    <w:p>
      <w:pPr>
        <w:spacing w:after="160" w:before="100"/>
      </w:pPr>
      <w:r>
        <w:rPr>
          <w:rFonts w:ascii="Arial" w:cs="Arial" w:eastAsia="Arial" w:hAnsi="Arial"/>
          <w:b/>
          <w:bCs/>
          <w:i w:val="false"/>
          <w:iCs w:val="false"/>
          <w:color w:val="E8612A"/>
          <w:sz w:val="22"/>
          <w:szCs w:val="22"/>
        </w:rPr>
        <w:t xml:space="preserve">Real-Time Tracking Modernisation for Legacy TMS: </w:t>
      </w:r>
      <w:r>
        <w:rPr>
          <w:rFonts w:ascii="Arial" w:cs="Arial" w:eastAsia="Arial" w:hAnsi="Arial"/>
          <w:b w:val="false"/>
          <w:bCs w:val="false"/>
          <w:i w:val="false"/>
          <w:iCs w:val="false"/>
          <w:color w:val="1A2332"/>
          <w:sz w:val="22"/>
          <w:szCs w:val="22"/>
        </w:rPr>
        <w:t xml:space="preserve">Legacy TMS systems have no real-time tracking capability — updates are end-of-day batch. Modernisation approach: GPS tracker → AWS IoT Core → Kinesis → Lambda (ETA calculator) → API (customer portal). The legacy TMS is the system of record — GPS tracking system is a new capability layer on top. Integration: GPS events update shipment status in legacy TMS via API (if legacy has API) or via database write (if legacy has no API — emergency approach). Modern customer portal built independently of legacy TMS — reads from new tracking database, not legacy.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HMRC CDS, DVSA, ISO 27001, Cyber Essentials, FCA (for freight financing)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LogTech TMS legacy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LogTech TMS legacy modernisation: Technical Discovery (4–6 weeks — including HMRC CDS gap analysis and DVSA integration review), HMRC CDS migration (8–12 weeks), real-time tracking layer (6–8 weeks), customer portal (8–12 weeks), carrier API integrations (4–8 weeks per carrier), and Strangler Fig migration of existing customers (12–24 weeks depending on customer count). Total: 36–60 weeks for a full LogTech TMS modernisation. ClickMasters recommendation: prioritise HMRC CDS migration (regulatory urgency — CHIEF decommissioned), then tracking (commercial urgency — customer expectation), then full TMS replacement.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we replace a LogTech legacy system without disrupting live deliveries?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Strangler Fig pattern. ClickMasters has completed 6 UK logistics TMS modernisations without operational disruption. Key principle: new system runs alongside legacy (not instead of) until every customer and carrier is migrated. Real-time tracking can be added without touching legacy TMS at all. HMRC CDS migration: parallel run (both legacy and new system submit to HMRC CDS for 4 weeks) before legacy CDS submission decommissioned. No single overnight cutover for operational systems — zero risk approach.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LogTech Software Development UK: /logtech-software-development/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HMRC CDS Integration UK: /hmrc-cds-integration-uk/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LogTech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specialists</w:t>
            </w:r>
          </w:p>
          <w:p>
            <w:pPr>
              <w:spacing w:after="0" w:before="0"/>
            </w:pPr>
            <w:r>
              <w:rPr>
                <w:rFonts w:ascii="Arial" w:cs="Arial" w:eastAsia="Arial" w:hAnsi="Arial"/>
                <w:color w:val="1A2332"/>
                <w:sz w:val="20"/>
                <w:szCs w:val="20"/>
              </w:rPr>
              <w:t xml:space="preserve">Delivering Legacy Modernisation for UK LogTech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"logtech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2026-06-02T08:07:42.779Z</dcterms:created>
  <dcterms:modified xsi:type="dcterms:W3CDTF">2026-06-02T08:07:42.779Z</dcterms:modified>
</cp:coreProperties>
</file>

<file path=docProps/custom.xml><?xml version="1.0" encoding="utf-8"?>
<Properties xmlns="http://schemas.openxmlformats.org/officeDocument/2006/custom-properties" xmlns:vt="http://schemas.openxmlformats.org/officeDocument/2006/docPropsVTypes"/>
</file>