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Legacy Modernisation for InsurTech UK | ClickMasters
META DESC: Legacy Modernisation for UK InsurTech. FCA ICOBS. £30,000–£150,000.
SLUG: /insurtech-legacy-modernisation-insurtech/</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March 2026  |  Reading time: 9 min  |  Written by: ClickMasters InsurTech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Industries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InsurTech Software</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Legacy Modernisation for InsurTech</w:t>
      </w:r>
    </w:p>
    <w:p>
      <w:pPr>
        <w:spacing w:after="60" w:before="60"/>
      </w:pPr>
    </w:p>
    <w:p>
      <w:pPr>
        <w:pStyle w:val="Heading1"/>
        <w:spacing w:after="160" w:before="360"/>
      </w:pPr>
      <w:r>
        <w:rPr>
          <w:rFonts w:ascii="Arial" w:cs="Arial" w:eastAsia="Arial" w:hAnsi="Arial"/>
          <w:b/>
          <w:bCs/>
          <w:color w:val="0B1F3A"/>
          <w:sz w:val="40"/>
          <w:szCs w:val="40"/>
        </w:rPr>
        <w:t xml:space="preserve">Legacy Modernisation for UK InsurTech — FCA ICOBS Built 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InsurTech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FCA ICOBS</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£30,000–£150,000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IR35-Safe</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Legacy Modernisation for UK InsurTech businesses with FCA ICOBS,  FCA Consumer Duty compliance from Sprint 1.</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Legacy Modernisation for InsurTech — UK Specifics</w:t>
            </w:r>
          </w:p>
        </w:tc>
      </w:tr>
    </w:tbl>
    <w:p>
      <w:pPr>
        <w:spacing w:after="60" w:before="60"/>
      </w:pPr>
    </w:p>
    <w:p>
      <w:pPr>
        <w:spacing w:after="160" w:before="100"/>
      </w:pPr>
      <w:r>
        <w:rPr>
          <w:rFonts w:ascii="Arial" w:cs="Arial" w:eastAsia="Arial" w:hAnsi="Arial"/>
          <w:b/>
          <w:bCs/>
          <w:i w:val="false"/>
          <w:iCs w:val="false"/>
          <w:color w:val="E8612A"/>
          <w:sz w:val="22"/>
          <w:szCs w:val="22"/>
        </w:rPr>
        <w:t xml:space="preserve">UK Insurance Legacy Platform Landscape: </w:t>
      </w:r>
      <w:r>
        <w:rPr>
          <w:rFonts w:ascii="Arial" w:cs="Arial" w:eastAsia="Arial" w:hAnsi="Arial"/>
          <w:b w:val="false"/>
          <w:bCs w:val="false"/>
          <w:i w:val="false"/>
          <w:iCs w:val="false"/>
          <w:color w:val="1A2332"/>
          <w:sz w:val="22"/>
          <w:szCs w:val="22"/>
        </w:rPr>
        <w:t xml:space="preserve">Common UK InsurTech legacy platforms requiring modernisation: (1) Guidewire PolicyCenter (on-premises deployments — migration to Guidewire Cloud), (2) ISCS (Insurance Software and Consulting Services — legacy UK MGA platform), (3) Applied Epic (broker management system — integration APIs for digital quoting), (4) in-house COBOL/Java policy administration systems (UK Lloyd's Market legacy — 1980s–2000s builds), (5) Duck Creek (US-origin, UK deployments). Key driver: FCA Consumer Duty (PS22/9) requires all customer-facing journeys to be fair, clear, and not misleading — legacy systems often have confusing UX that fails Consumer Duty assessment.</w:t>
      </w:r>
    </w:p>
    <w:p>
      <w:pPr>
        <w:spacing w:after="60" w:before="60"/>
      </w:pPr>
    </w:p>
    <w:p>
      <w:pPr>
        <w:spacing w:after="160" w:before="100"/>
      </w:pPr>
      <w:r>
        <w:rPr>
          <w:rFonts w:ascii="Arial" w:cs="Arial" w:eastAsia="Arial" w:hAnsi="Arial"/>
          <w:b/>
          <w:bCs/>
          <w:i w:val="false"/>
          <w:iCs w:val="false"/>
          <w:color w:val="E8612A"/>
          <w:sz w:val="22"/>
          <w:szCs w:val="22"/>
        </w:rPr>
        <w:t xml:space="preserve">FCA Consumer Duty Legacy Assessment: </w:t>
      </w:r>
      <w:r>
        <w:rPr>
          <w:rFonts w:ascii="Arial" w:cs="Arial" w:eastAsia="Arial" w:hAnsi="Arial"/>
          <w:b w:val="false"/>
          <w:bCs w:val="false"/>
          <w:i w:val="false"/>
          <w:iCs w:val="false"/>
          <w:color w:val="1A2332"/>
          <w:sz w:val="22"/>
          <w:szCs w:val="22"/>
        </w:rPr>
        <w:t xml:space="preserve">FCA Consumer Duty PS22/9 requires insurers to assess whether legacy systems produce fair customer outcomes. Legacy Consumer Duty failure modes: (1) renewal pricing — legacy systems that increase premium at renewal without fair pricing justification (FCA PS21/11 renewal pricing rules), (2) claims journey — legacy claims portals that make claiming harder than it should be (Consumer Duty consumer support outcome), (3) cancellation — legacy systems that charge excessive cancellation fees or make cancellation difficult (Consumer Duty — cancellation must be no harder than purchase), (4) product information — legacy systems that display unclear product information (Consumer Duty consumer understanding outcome). ClickMasters legacy assessment: audits legacy InsurTech UX journeys against Consumer Duty outcomes before modernisation scope is agreed.</w:t>
      </w:r>
    </w:p>
    <w:p>
      <w:pPr>
        <w:spacing w:after="60" w:before="60"/>
      </w:pPr>
    </w:p>
    <w:p>
      <w:pPr>
        <w:spacing w:after="160" w:before="100"/>
      </w:pPr>
      <w:r>
        <w:rPr>
          <w:rFonts w:ascii="Arial" w:cs="Arial" w:eastAsia="Arial" w:hAnsi="Arial"/>
          <w:b/>
          <w:bCs/>
          <w:i w:val="false"/>
          <w:iCs w:val="false"/>
          <w:color w:val="E8612A"/>
          <w:sz w:val="22"/>
          <w:szCs w:val="22"/>
        </w:rPr>
        <w:t xml:space="preserve">Lloyd's Market Legacy Modernisation: </w:t>
      </w:r>
      <w:r>
        <w:rPr>
          <w:rFonts w:ascii="Arial" w:cs="Arial" w:eastAsia="Arial" w:hAnsi="Arial"/>
          <w:b w:val="false"/>
          <w:bCs w:val="false"/>
          <w:i w:val="false"/>
          <w:iCs w:val="false"/>
          <w:color w:val="1A2332"/>
          <w:sz w:val="22"/>
          <w:szCs w:val="22"/>
        </w:rPr>
        <w:t xml:space="preserve">Lloyd's of London digital transformation: Lloyd's Blueprint Two programme — Core Data Record (CDR) mandatory for all new business. Legacy Lloyd's systems: ACORD (Association for Cooperative Operations Research and Development) messaging (ACORD 2.x → ACORD 3.x migration), IMR (Insurers' Market Repository), and LBS (Lloyd's Back-office Settlement). CDR migration: (1) ACORD 3.x structured data adoption, (2) risk code harmonisation (LOB codes → CDR taxonomy), (3) Lloyd's API connectivity (Lloyd's Atlas API — policy submission via API, not PDF). ClickMasters CDR migration: 28 CDR test scenarios (Lloyd's CDR sandbox) all passed before production submission.</w:t>
      </w:r>
    </w:p>
    <w:p>
      <w:pPr>
        <w:spacing w:after="60" w:before="60"/>
      </w:pPr>
    </w:p>
    <w:p>
      <w:pPr>
        <w:spacing w:after="160" w:before="100"/>
      </w:pPr>
      <w:r>
        <w:rPr>
          <w:rFonts w:ascii="Arial" w:cs="Arial" w:eastAsia="Arial" w:hAnsi="Arial"/>
          <w:b/>
          <w:bCs/>
          <w:i w:val="false"/>
          <w:iCs w:val="false"/>
          <w:color w:val="E8612A"/>
          <w:sz w:val="22"/>
          <w:szCs w:val="22"/>
        </w:rPr>
        <w:t xml:space="preserve">Claims Automation in Legacy Modernisation: </w:t>
      </w:r>
      <w:r>
        <w:rPr>
          <w:rFonts w:ascii="Arial" w:cs="Arial" w:eastAsia="Arial" w:hAnsi="Arial"/>
          <w:b w:val="false"/>
          <w:bCs w:val="false"/>
          <w:i w:val="false"/>
          <w:iCs w:val="false"/>
          <w:color w:val="1A2332"/>
          <w:sz w:val="22"/>
          <w:szCs w:val="22"/>
        </w:rPr>
        <w:t xml:space="preserve">InsurTech claims automation replacing legacy manual processes: (1) FNOL (First Notice of Loss) digital — customer submits claim via web/app (not phone), (2) claims triage (AI categorisation — straightforward vs complex, fast-track vs standard), (3) third-party data enrichment (vehicle claims: DVLA registration lookup, MIAFTR (Motor Insurers Anti-Fraud and Theft Register), MID (Motor Insurance Database)), (4) payment automation (Stripe or GoCardless — claims settlement payment within 24 hours for straightforward claims), (5) subrogation (recovery from liable third party — automated identification and notification workflow). FCA Consumer Duty: straightforward claims paid within 24 hours (Consumer Duty consumer support outcome).</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Compliance: FCA ICOBS, FCA Consumer Duty, PCI-DSS SAQ-A, UK GDPR, Cyber Essentials Plus, AML MLRs 2017</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Type</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Price</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InsurTech Legacy Modernisation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Full engagement</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£30,000–£150,000</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Discovery</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Scoping</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£3,500–£8,000</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Retainer</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Ongoing support</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£2,000/mo</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long does InsurTech legacy modernisation take?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InsurTech legacy modernisation timelines: (1) Consumer Duty UX remediation (legacy portal Consumer Duty compliance fixes — new renewal journey, simpler cancellation): 8–14 weeks. (2) Legacy policy administration system API wrapping (REST API layer over COBOL/legacy system — modern digital frontend consuming legacy backend): 12–20 weeks. (3) Full Guidewire PolicyCenter on-prem to Guidewire Cloud migration: 24–48 weeks (large programme — ClickMasters supports API layer and digital channel, not core Guidewire implementation). (4) New cloud-native policy administration system replacing legacy: 32–60 weeks. ClickMasters recommendation: start with Consumer Duty remediation (fastest ROI, regulatory deadline driven) before full platform migration.</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is CDR and why does it require legacy modernisation?</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Lloyd's CDR (Core Data Record): Lloyd's Blueprint Two programme — all Lloyd's business must be submitted as structured digital data (CDR) rather than PDF documents. CDR mandatory from 2024 for new business. Legacy impact: (1) in-house ACORD 1.x/2.x systems cannot generate CDR-compliant ACORD 3.x structured data without significant engineering, (2) spreadsheet-based risk submission (common in Lloyd's coverholders) must be replaced with CDR API integration, (3) 28 CDR test scenarios in Lloyd's CDR sandbox must all pass before production. ClickMasters CDR timeline: 8–14 weeks for a coverholder or MGA with existing digital data to achieve CDR compliance — longer for paper-based processes requiring digitisation first.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InsurTech Software Development UK: /insurtech-software-development/</w:t>
      </w:r>
    </w:p>
    <w:p>
      <w:pPr>
        <w:pStyle w:val="ListParagraph"/>
        <w:numPr>
          <w:ilvl w:val="0"/>
          <w:numId w:val="2"/>
        </w:numPr>
        <w:spacing w:after="60" w:before="60"/>
      </w:pPr>
      <w:r>
        <w:rPr>
          <w:rFonts w:ascii="Arial" w:cs="Arial" w:eastAsia="Arial" w:hAnsi="Arial"/>
          <w:color w:val="1A4A8A"/>
          <w:sz w:val="22"/>
          <w:szCs w:val="22"/>
        </w:rPr>
        <w:t xml:space="preserve">Legacy Modernisation UK: /legacy-modernisation/</w:t>
      </w:r>
    </w:p>
    <w:p>
      <w:pPr>
        <w:pStyle w:val="ListParagraph"/>
        <w:numPr>
          <w:ilvl w:val="0"/>
          <w:numId w:val="2"/>
        </w:numPr>
        <w:spacing w:after="60" w:before="60"/>
      </w:pPr>
      <w:r>
        <w:rPr>
          <w:rFonts w:ascii="Arial" w:cs="Arial" w:eastAsia="Arial" w:hAnsi="Arial"/>
          <w:color w:val="1A4A8A"/>
          <w:sz w:val="22"/>
          <w:szCs w:val="22"/>
        </w:rPr>
        <w:t xml:space="preserve">FCA Consumer Duty Guide UK: /fca-consumer-duty-guide-uk/</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InsurTech Legacy Modernisation Consultation</w:t>
            </w:r>
          </w:p>
          <w:p>
            <w:pPr>
              <w:spacing w:after="160" w:before="0"/>
            </w:pPr>
            <w:r>
              <w:rPr>
                <w:rFonts w:ascii="Arial" w:cs="Arial" w:eastAsia="Arial" w:hAnsi="Arial"/>
                <w:color w:val="BDD0E8"/>
                <w:sz w:val="22"/>
                <w:szCs w:val="22"/>
              </w:rPr>
              <w:t xml:space="preserve">Free 45 minutes.</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InsurTech Team</w:t>
            </w:r>
          </w:p>
          <w:p>
            <w:pPr>
              <w:spacing w:after="80" w:before="0"/>
            </w:pPr>
            <w:r>
              <w:rPr>
                <w:rFonts w:ascii="Arial" w:cs="Arial" w:eastAsia="Arial" w:hAnsi="Arial"/>
                <w:b/>
                <w:bCs/>
                <w:color w:val="E8612A"/>
                <w:sz w:val="20"/>
                <w:szCs w:val="20"/>
              </w:rPr>
              <w:t xml:space="preserve">InsurTech specialists</w:t>
            </w:r>
          </w:p>
          <w:p>
            <w:pPr>
              <w:spacing w:after="0" w:before="0"/>
            </w:pPr>
            <w:r>
              <w:rPr>
                <w:rFonts w:ascii="Arial" w:cs="Arial" w:eastAsia="Arial" w:hAnsi="Arial"/>
                <w:color w:val="1A2332"/>
                <w:sz w:val="20"/>
                <w:szCs w:val="20"/>
              </w:rPr>
              <w:t xml:space="preserve">Delivering Legacy Modernisation for UK InsurTech businesses.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Service + FAQPage | "insurtech legacy modernisation uk 2026"</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2026-06-05T11:24:01.357Z</dcterms:created>
  <dcterms:modified xsi:type="dcterms:W3CDTF">2026-06-05T11:24:01.357Z</dcterms:modified>
</cp:coreProperties>
</file>

<file path=docProps/custom.xml><?xml version="1.0" encoding="utf-8"?>
<Properties xmlns="http://schemas.openxmlformats.org/officeDocument/2006/custom-properties" xmlns:vt="http://schemas.openxmlformats.org/officeDocument/2006/docPropsVTypes"/>
</file>