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SaaS Development for InsurTech UK | ClickMasters
META DESC: SaaS Development for UK InsurTech. FCA. £40,000–£200,000.
SLUG: /insurtech-saas-development/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InsurTech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InsurTech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SaaS Development for InsurTech</w:t>
      </w:r>
    </w:p>
    <w:p>
      <w:pPr>
        <w:spacing w:after="60" w:before="60"/>
      </w:pPr>
    </w:p>
    <w:p>
      <w:pPr>
        <w:pStyle w:val="Heading1"/>
        <w:spacing w:after="160" w:before="360"/>
      </w:pPr>
      <w:r>
        <w:rPr>
          <w:rFonts w:ascii="Arial" w:cs="Arial" w:eastAsia="Arial" w:hAnsi="Arial"/>
          <w:b/>
          <w:bCs/>
          <w:color w:val="0B1F3A"/>
          <w:sz w:val="40"/>
          <w:szCs w:val="40"/>
        </w:rPr>
        <w:t xml:space="preserve">SaaS Development for UK InsurTech — FCA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InsurTech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FCA</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£40,000–£200,000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SaaS Development for UK InsurTech businesses with FCA,  Consumer Duty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SaaS Development for InsurTech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Multi-Tenant InsurTech SaaS: </w:t>
      </w:r>
      <w:r>
        <w:rPr>
          <w:rFonts w:ascii="Arial" w:cs="Arial" w:eastAsia="Arial" w:hAnsi="Arial"/>
          <w:b w:val="false"/>
          <w:bCs w:val="false"/>
          <w:i w:val="false"/>
          <w:iCs w:val="false"/>
          <w:color w:val="1A2332"/>
          <w:sz w:val="22"/>
          <w:szCs w:val="22"/>
        </w:rPr>
        <w:t xml:space="preserve">InsurTech SaaS serving multiple insurance brokers or MGAs requires multi-tenant architecture with complete data isolation. UK GDPR: each insurer's policyholder data is completely separate (PostgreSQL schema-per-tenant). Solvency II UK: actuarial data per insurer tenant must maintain complete data lineage.</w:t>
      </w:r>
    </w:p>
    <w:p>
      <w:pPr>
        <w:spacing w:after="60" w:before="60"/>
      </w:pPr>
    </w:p>
    <w:p>
      <w:pPr>
        <w:spacing w:after="160" w:before="100"/>
      </w:pPr>
      <w:r>
        <w:rPr>
          <w:rFonts w:ascii="Arial" w:cs="Arial" w:eastAsia="Arial" w:hAnsi="Arial"/>
          <w:b/>
          <w:bCs/>
          <w:i w:val="false"/>
          <w:iCs w:val="false"/>
          <w:color w:val="E8612A"/>
          <w:sz w:val="22"/>
          <w:szCs w:val="22"/>
        </w:rPr>
        <w:t xml:space="preserve">FCA PROD Compliance for Product SaaS: </w:t>
      </w:r>
      <w:r>
        <w:rPr>
          <w:rFonts w:ascii="Arial" w:cs="Arial" w:eastAsia="Arial" w:hAnsi="Arial"/>
          <w:b w:val="false"/>
          <w:bCs w:val="false"/>
          <w:i w:val="false"/>
          <w:iCs w:val="false"/>
          <w:color w:val="1A2332"/>
          <w:sz w:val="22"/>
          <w:szCs w:val="22"/>
        </w:rPr>
        <w:t xml:space="preserve">Product governance (FCA PROD) requires insurers to maintain product approval and review processes. InsurTech SaaS must support: product design documentation, target market assessment, fair value assessment calculations, distribution strategy records, and product review trigger monitoring.</w:t>
      </w:r>
    </w:p>
    <w:p>
      <w:pPr>
        <w:spacing w:after="60" w:before="60"/>
      </w:pPr>
    </w:p>
    <w:p>
      <w:pPr>
        <w:spacing w:after="160" w:before="100"/>
      </w:pPr>
      <w:r>
        <w:rPr>
          <w:rFonts w:ascii="Arial" w:cs="Arial" w:eastAsia="Arial" w:hAnsi="Arial"/>
          <w:b/>
          <w:bCs/>
          <w:i w:val="false"/>
          <w:iCs w:val="false"/>
          <w:color w:val="E8612A"/>
          <w:sz w:val="22"/>
          <w:szCs w:val="22"/>
        </w:rPr>
        <w:t xml:space="preserve">Open Insurance and API Standardisation: </w:t>
      </w:r>
      <w:r>
        <w:rPr>
          <w:rFonts w:ascii="Arial" w:cs="Arial" w:eastAsia="Arial" w:hAnsi="Arial"/>
          <w:b w:val="false"/>
          <w:bCs w:val="false"/>
          <w:i w:val="false"/>
          <w:iCs w:val="false"/>
          <w:color w:val="1A2332"/>
          <w:sz w:val="22"/>
          <w:szCs w:val="22"/>
        </w:rPr>
        <w:t xml:space="preserve">The Open Insurance initiative (OPIN) is developing API standards for insurance data sharing — similar to Open Banking for financial services. UK InsurTech SaaS should consider API-first design aligned with emerging OPIN standards to enable future interoperability.</w:t>
      </w:r>
    </w:p>
    <w:p>
      <w:pPr>
        <w:spacing w:after="60" w:before="60"/>
      </w:pPr>
    </w:p>
    <w:p>
      <w:pPr>
        <w:spacing w:after="160" w:before="100"/>
      </w:pPr>
      <w:r>
        <w:rPr>
          <w:rFonts w:ascii="Arial" w:cs="Arial" w:eastAsia="Arial" w:hAnsi="Arial"/>
          <w:b/>
          <w:bCs/>
          <w:i w:val="false"/>
          <w:iCs w:val="false"/>
          <w:color w:val="E8612A"/>
          <w:sz w:val="22"/>
          <w:szCs w:val="22"/>
        </w:rPr>
        <w:t xml:space="preserve">Claims FNOL as SaaS Tenant Feature: </w:t>
      </w:r>
      <w:r>
        <w:rPr>
          <w:rFonts w:ascii="Arial" w:cs="Arial" w:eastAsia="Arial" w:hAnsi="Arial"/>
          <w:b w:val="false"/>
          <w:bCs w:val="false"/>
          <w:i w:val="false"/>
          <w:iCs w:val="false"/>
          <w:color w:val="1A2332"/>
          <w:sz w:val="22"/>
          <w:szCs w:val="22"/>
        </w:rPr>
        <w:t xml:space="preserve">First Notice of Loss (FNOL) as a multi-tenant SaaS feature: each insurer tenant configures their own FNOL workflow (claim types, triage rules, STP criteria). Stripe for premium collection per tenant (Stripe Connect for marketplace SaaS). Automated settlement payments per tenant's payment method preferences.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FCA, Consumer Duty, Solvency II UK, GDPR, AML</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InsurTech SaaS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Support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FCA product governance applies to InsurTech SaaS?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FCA PROD (Product Intervention and Product Governance Sourcebook): product design and approval (PDAP) process, target market assessment, fair value assessment, distribution strategy records. InsurTech SaaS must enable insurer clients to meet these obligations as part of the platform feature set.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we build multi-tenant InsurTech SaaS with UK GDPR compliance?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PostgreSQL separate schema per insurer tenant provides complete data isolation. Article 28 DPA in your InsurTech platform terms (you are data processor, each insurer is data controller). Right to erasure per tenant cascades all policyholder data on insurer account deletion. ICO registration required.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InsurTech Software Development UK: /insurtech-software-development/</w:t>
      </w:r>
    </w:p>
    <w:p>
      <w:pPr>
        <w:pStyle w:val="ListParagraph"/>
        <w:numPr>
          <w:ilvl w:val="0"/>
          <w:numId w:val="2"/>
        </w:numPr>
        <w:spacing w:after="60" w:before="60"/>
      </w:pPr>
      <w:r>
        <w:rPr>
          <w:rFonts w:ascii="Arial" w:cs="Arial" w:eastAsia="Arial" w:hAnsi="Arial"/>
          <w:color w:val="1A4A8A"/>
          <w:sz w:val="22"/>
          <w:szCs w:val="22"/>
        </w:rPr>
        <w:t xml:space="preserve">SaaS Development UK: /saas-development/</w:t>
      </w:r>
    </w:p>
    <w:p>
      <w:pPr>
        <w:pStyle w:val="ListParagraph"/>
        <w:numPr>
          <w:ilvl w:val="0"/>
          <w:numId w:val="2"/>
        </w:numPr>
        <w:spacing w:after="60" w:before="60"/>
      </w:pPr>
      <w:r>
        <w:rPr>
          <w:rFonts w:ascii="Arial" w:cs="Arial" w:eastAsia="Arial" w:hAnsi="Arial"/>
          <w:color w:val="1A4A8A"/>
          <w:sz w:val="22"/>
          <w:szCs w:val="22"/>
        </w:rPr>
        <w:t xml:space="preserve">FCA Software Compliance UK: /fca-software-compliance-guide/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InsurTech SaaS Development</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InsurTech Team</w:t>
            </w:r>
          </w:p>
          <w:p>
            <w:pPr>
              <w:spacing w:after="80" w:before="0"/>
            </w:pPr>
            <w:r>
              <w:rPr>
                <w:rFonts w:ascii="Arial" w:cs="Arial" w:eastAsia="Arial" w:hAnsi="Arial"/>
                <w:b/>
                <w:bCs/>
                <w:color w:val="E8612A"/>
                <w:sz w:val="20"/>
                <w:szCs w:val="20"/>
              </w:rPr>
              <w:t xml:space="preserve">InsurTech software specialists</w:t>
            </w:r>
          </w:p>
          <w:p>
            <w:pPr>
              <w:spacing w:after="0" w:before="0"/>
            </w:pPr>
            <w:r>
              <w:rPr>
                <w:rFonts w:ascii="Arial" w:cs="Arial" w:eastAsia="Arial" w:hAnsi="Arial"/>
                <w:color w:val="1A2332"/>
                <w:sz w:val="20"/>
                <w:szCs w:val="20"/>
              </w:rPr>
              <w:t xml:space="preserve">Delivering SaaS Development for UK InsurTech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"insurtech saas development uk" (150/mo)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2026-05-24T11:50:33.817Z</dcterms:created>
  <dcterms:modified xsi:type="dcterms:W3CDTF">2026-05-24T11:50:33.817Z</dcterms:modified>
</cp:coreProperties>
</file>

<file path=docProps/custom.xml><?xml version="1.0" encoding="utf-8"?>
<Properties xmlns="http://schemas.openxmlformats.org/officeDocument/2006/custom-properties" xmlns:vt="http://schemas.openxmlformats.org/officeDocument/2006/docPropsVTypes"/>
</file>