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LegalTech UK | ClickMasters
META DESC: SaaS Development for UK LegalTech. SRA. £40,000–£200,000.
SLUG: /legaltech-saas-development/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9 min  |  Written by: ClickMasters LegalTech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LegalTech Software</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LegalTech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LegalTech — SRA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LegalTech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SRA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£40,000–£200,000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UK LegalTech businesses with SRA,  Legal Professional Privilege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LegalTech — UK Specifics</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LegalTech SaaS Architecture: </w:t>
      </w:r>
      <w:r>
        <w:rPr>
          <w:rFonts w:ascii="Arial" w:cs="Arial" w:eastAsia="Arial" w:hAnsi="Arial"/>
          <w:b w:val="false"/>
          <w:bCs w:val="false"/>
          <w:i w:val="false"/>
          <w:iCs w:val="false"/>
          <w:color w:val="1A2332"/>
          <w:sz w:val="22"/>
          <w:szCs w:val="22"/>
        </w:rPr>
        <w:t xml:space="preserve">LegalTech SaaS serving multiple law firms has uniquely strict multi-tenancy requirements: Legal Professional Privilege (LPP) means one firm's client data must be completely invisible to another firm's users — not just filtered in the application, but isolated at the database level. PostgreSQL RLS as the LPP boundary: policies enforce that queries can only return rows belonging to the authenticated firm. No cross-firm data access is possible even with application bugs.</w:t>
      </w:r>
    </w:p>
    <w:p>
      <w:pPr>
        <w:spacing w:after="60" w:before="60"/>
      </w:pPr>
    </w:p>
    <w:p>
      <w:pPr>
        <w:spacing w:after="160" w:before="100"/>
      </w:pPr>
      <w:r>
        <w:rPr>
          <w:rFonts w:ascii="Arial" w:cs="Arial" w:eastAsia="Arial" w:hAnsi="Arial"/>
          <w:b/>
          <w:bCs/>
          <w:i w:val="false"/>
          <w:iCs w:val="false"/>
          <w:color w:val="E8612A"/>
          <w:sz w:val="22"/>
          <w:szCs w:val="22"/>
        </w:rPr>
        <w:t xml:space="preserve">SRA Compliance in Multi-Tenant SaaS: </w:t>
      </w:r>
      <w:r>
        <w:rPr>
          <w:rFonts w:ascii="Arial" w:cs="Arial" w:eastAsia="Arial" w:hAnsi="Arial"/>
          <w:b w:val="false"/>
          <w:bCs w:val="false"/>
          <w:i w:val="false"/>
          <w:iCs w:val="false"/>
          <w:color w:val="1A2332"/>
          <w:sz w:val="22"/>
          <w:szCs w:val="22"/>
        </w:rPr>
        <w:t xml:space="preserve">SRA Code of Conduct applies to each law firm using the SaaS — not just the SaaS provider. SRA compliance features in LegalTech SaaS: matter and client conflict checking (no firm should be able to act for parties in conflict — SaaS must run conflict checks using each firm's own matter data, not across firms), SRA accounts rules (client money tracking per firm, isolated from other tenants), and SRA audit trail (immutable per-firm activity log).</w:t>
      </w:r>
    </w:p>
    <w:p>
      <w:pPr>
        <w:spacing w:after="60" w:before="60"/>
      </w:pPr>
    </w:p>
    <w:p>
      <w:pPr>
        <w:spacing w:after="160" w:before="100"/>
      </w:pPr>
      <w:r>
        <w:rPr>
          <w:rFonts w:ascii="Arial" w:cs="Arial" w:eastAsia="Arial" w:hAnsi="Arial"/>
          <w:b/>
          <w:bCs/>
          <w:i w:val="false"/>
          <w:iCs w:val="false"/>
          <w:color w:val="E8612A"/>
          <w:sz w:val="22"/>
          <w:szCs w:val="22"/>
        </w:rPr>
        <w:t xml:space="preserve">G-Cloud LegalTech SaaS for Court Services: </w:t>
      </w:r>
      <w:r>
        <w:rPr>
          <w:rFonts w:ascii="Arial" w:cs="Arial" w:eastAsia="Arial" w:hAnsi="Arial"/>
          <w:b w:val="false"/>
          <w:bCs w:val="false"/>
          <w:i w:val="false"/>
          <w:iCs w:val="false"/>
          <w:color w:val="1A2332"/>
          <w:sz w:val="22"/>
          <w:szCs w:val="22"/>
        </w:rPr>
        <w:t xml:space="preserve">HMCTS (His Majesty's Courts and Tribunals Service) and Crown Prosecution Service procure via G-Cloud. LegalTech SaaS targeting public legal sector: G-Cloud 14 listing required, Cyber Essentials mandatory, WCAG 2.1 AA, UK GDPR data residency (AWS eu-west-2 or Azure UK South), and MOJ security standards (HM Government Classification: OFFICIAL minimum).</w:t>
      </w:r>
    </w:p>
    <w:p>
      <w:pPr>
        <w:spacing w:after="60" w:before="60"/>
      </w:pPr>
    </w:p>
    <w:p>
      <w:pPr>
        <w:spacing w:after="160" w:before="100"/>
      </w:pPr>
      <w:r>
        <w:rPr>
          <w:rFonts w:ascii="Arial" w:cs="Arial" w:eastAsia="Arial" w:hAnsi="Arial"/>
          <w:b/>
          <w:bCs/>
          <w:i w:val="false"/>
          <w:iCs w:val="false"/>
          <w:color w:val="E8612A"/>
          <w:sz w:val="22"/>
          <w:szCs w:val="22"/>
        </w:rPr>
        <w:t xml:space="preserve">AML/KYC in LegalTech SaaS: </w:t>
      </w:r>
      <w:r>
        <w:rPr>
          <w:rFonts w:ascii="Arial" w:cs="Arial" w:eastAsia="Arial" w:hAnsi="Arial"/>
          <w:b w:val="false"/>
          <w:bCs w:val="false"/>
          <w:i w:val="false"/>
          <w:iCs w:val="false"/>
          <w:color w:val="1A2332"/>
          <w:sz w:val="22"/>
          <w:szCs w:val="22"/>
        </w:rPr>
        <w:t xml:space="preserve">MLRs 2017: law firms are regulated AML entities. LegalTech SaaS for AML compliance: client due diligence (CDD) workflow with electronic identity verification (Onfido/Jumio), PEP/sanctions screening (Dow Jones World-Check), source of funds/wealth documentation, and ongoing monitoring alerts. Multi-tenant isolation: each firm's AML records and CDD evidence are isolated — a breach of one firm's CDD data is a significant regulatory event.</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SRA, Legal Professional Privilege, UK GDPR, AML (MLRs 2017), Cyber Essentials, G-Cloud (if public sector)</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LegalTech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support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SRA requirements must LegalTech SaaS satisfy?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SRA Code of Conduct: law firms using SaaS remain responsible for their compliance. SaaS providers must: not create risk of SRA breach (e.g., no co-mingling of client money, no cross-firm data access), support SRA audit requirements (immutable audit log per firm, data export on request), and have a clear data processing agreement. SRA Accounts Rules: client ledger data must be isolated per firm and comply with reconciliation requirements.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we sell LegalTech SaaS to UK law firms?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UK law firms are sophisticated buyers. Key sales requirements: demonstrate SRA compliance (not just general GDPR), provide SOC 2 Type II or ISO 27001 (law firms increasingly require security certifications), offer clear data processing agreements, explain LPP data isolation architecture, and provide references from other law firms. Bar Mutual Indemnity Fund: some law firms check whether their professional indemnity insurer covers use of third-party SaaS.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LegalTech Software Development UK: /legaltech-software-development/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UK GDPR Compliance Checklist: /uk-gdpr-software-compliance-checklist/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LegalTech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LegalTech Team</w:t>
            </w:r>
          </w:p>
          <w:p>
            <w:pPr>
              <w:spacing w:after="80" w:before="0"/>
            </w:pPr>
            <w:r>
              <w:rPr>
                <w:rFonts w:ascii="Arial" w:cs="Arial" w:eastAsia="Arial" w:hAnsi="Arial"/>
                <w:b/>
                <w:bCs/>
                <w:color w:val="E8612A"/>
                <w:sz w:val="20"/>
                <w:szCs w:val="20"/>
              </w:rPr>
              <w:t xml:space="preserve">LegalTech specialists</w:t>
            </w:r>
          </w:p>
          <w:p>
            <w:pPr>
              <w:spacing w:after="0" w:before="0"/>
            </w:pPr>
            <w:r>
              <w:rPr>
                <w:rFonts w:ascii="Arial" w:cs="Arial" w:eastAsia="Arial" w:hAnsi="Arial"/>
                <w:color w:val="1A2332"/>
                <w:sz w:val="20"/>
                <w:szCs w:val="20"/>
              </w:rPr>
              <w:t xml:space="preserve">Delivering SaaS Development for UK LegalTech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"legaltech saas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2026-05-26T21:05:19.594Z</dcterms:created>
  <dcterms:modified xsi:type="dcterms:W3CDTF">2026-05-26T21:05:19.594Z</dcterms:modified>
</cp:coreProperties>
</file>

<file path=docProps/custom.xml><?xml version="1.0" encoding="utf-8"?>
<Properties xmlns="http://schemas.openxmlformats.org/officeDocument/2006/custom-properties" xmlns:vt="http://schemas.openxmlformats.org/officeDocument/2006/docPropsVTypes"/>
</file>