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HealthTech UK | ClickMasters
META DESC: SaaS Development for UK HealthTech. DTAC. £40,000–£200,000.
SLUG: /healthtech-saas-development/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HealthTech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HealthTech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HealthTech — DTAC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HealthTech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DTAC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HealthTech businesses with DTAC,  NHS DSP Toolkit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HealthTech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NHS App Library Listing — SaaS Route: </w:t>
      </w:r>
      <w:r>
        <w:rPr>
          <w:rFonts w:ascii="Arial" w:cs="Arial" w:eastAsia="Arial" w:hAnsi="Arial"/>
          <w:b w:val="false"/>
          <w:bCs w:val="false"/>
          <w:i w:val="false"/>
          <w:iCs w:val="false"/>
          <w:color w:val="1A2332"/>
          <w:sz w:val="22"/>
          <w:szCs w:val="22"/>
        </w:rPr>
        <w:t xml:space="preserve">NHS App Library listing requires DTAC evidence. For SaaS HealthTech: Domain 1 (Clinical Safety — DCB0129), Domain 2 (Data Protection — NHS DSP Toolkit, Article 9 DPIA), Domain 3 (Technical Security — Cyber Essentials Plus, pen test), Domain 4 (Interoperability — FHIR R4 where applicable), Domain 5 (Usability — WCAG 2.1 AA, user research evidence). SaaS advantage: single DTAC assessment covers all NHS clients using the SaaS.</w:t>
      </w:r>
    </w:p>
    <w:p>
      <w:pPr>
        <w:spacing w:after="60" w:before="60"/>
      </w:pPr>
    </w:p>
    <w:p>
      <w:pPr>
        <w:spacing w:after="160" w:before="100"/>
      </w:pPr>
      <w:r>
        <w:rPr>
          <w:rFonts w:ascii="Arial" w:cs="Arial" w:eastAsia="Arial" w:hAnsi="Arial"/>
          <w:b/>
          <w:bCs/>
          <w:i w:val="false"/>
          <w:iCs w:val="false"/>
          <w:color w:val="E8612A"/>
          <w:sz w:val="22"/>
          <w:szCs w:val="22"/>
        </w:rPr>
        <w:t xml:space="preserve">Multi-Tenant NHS Data Architecture: </w:t>
      </w:r>
      <w:r>
        <w:rPr>
          <w:rFonts w:ascii="Arial" w:cs="Arial" w:eastAsia="Arial" w:hAnsi="Arial"/>
          <w:b w:val="false"/>
          <w:bCs w:val="false"/>
          <w:i w:val="false"/>
          <w:iCs w:val="false"/>
          <w:color w:val="1A2332"/>
          <w:sz w:val="22"/>
          <w:szCs w:val="22"/>
        </w:rPr>
        <w:t xml:space="preserve">NHS SaaS serving multiple Trusts: each Trust is a separate data controller. Multi-tenant architecture must enforce: patient data isolated per Trust (PostgreSQL RLS), each Trust's data processed only under their NHS DSP Toolkit obligations, audit logs per Trust (each Trust can export their own audit logs for their DSP Toolkit submission), and data deletion per Trust (right to erasure must be executable per Trust without affecting other tenants).</w:t>
      </w:r>
    </w:p>
    <w:p>
      <w:pPr>
        <w:spacing w:after="60" w:before="60"/>
      </w:pPr>
    </w:p>
    <w:p>
      <w:pPr>
        <w:spacing w:after="160" w:before="100"/>
      </w:pPr>
      <w:r>
        <w:rPr>
          <w:rFonts w:ascii="Arial" w:cs="Arial" w:eastAsia="Arial" w:hAnsi="Arial"/>
          <w:b/>
          <w:bCs/>
          <w:i w:val="false"/>
          <w:iCs w:val="false"/>
          <w:color w:val="E8612A"/>
          <w:sz w:val="22"/>
          <w:szCs w:val="22"/>
        </w:rPr>
        <w:t xml:space="preserve">NHS Framework Agreement Procurement: </w:t>
      </w:r>
      <w:r>
        <w:rPr>
          <w:rFonts w:ascii="Arial" w:cs="Arial" w:eastAsia="Arial" w:hAnsi="Arial"/>
          <w:b w:val="false"/>
          <w:bCs w:val="false"/>
          <w:i w:val="false"/>
          <w:iCs w:val="false"/>
          <w:color w:val="1A2332"/>
          <w:sz w:val="22"/>
          <w:szCs w:val="22"/>
        </w:rPr>
        <w:t xml:space="preserve">NHS SaaS is often procured via framework agreements rather than individual procurement. Key frameworks: NHS Shared Business Services (NHS SBS) Digital Technology framework, Crown Commercial Service (CCS) G-Cloud, and NHS England Digital Technology Assessment framework. SaaS products on G-Cloud: Cyber Essentials required, WCAG 2.1 AA required, NHS DSP Toolkit alignment required for health data SaaS.</w:t>
      </w:r>
    </w:p>
    <w:p>
      <w:pPr>
        <w:spacing w:after="60" w:before="60"/>
      </w:pPr>
    </w:p>
    <w:p>
      <w:pPr>
        <w:spacing w:after="160" w:before="100"/>
      </w:pPr>
      <w:r>
        <w:rPr>
          <w:rFonts w:ascii="Arial" w:cs="Arial" w:eastAsia="Arial" w:hAnsi="Arial"/>
          <w:b/>
          <w:bCs/>
          <w:i w:val="false"/>
          <w:iCs w:val="false"/>
          <w:color w:val="E8612A"/>
          <w:sz w:val="22"/>
          <w:szCs w:val="22"/>
        </w:rPr>
        <w:t xml:space="preserve">Subscription Pricing for NHS HealthTech SaaS: </w:t>
      </w:r>
      <w:r>
        <w:rPr>
          <w:rFonts w:ascii="Arial" w:cs="Arial" w:eastAsia="Arial" w:hAnsi="Arial"/>
          <w:b w:val="false"/>
          <w:bCs w:val="false"/>
          <w:i w:val="false"/>
          <w:iCs w:val="false"/>
          <w:color w:val="1A2332"/>
          <w:sz w:val="22"/>
          <w:szCs w:val="22"/>
        </w:rPr>
        <w:t xml:space="preserve">NHS HealthTech SaaS pricing models: per-Trust subscription (annual or monthly), per-user/per-seat (common for clinical staff tools), and per-patient (common for patient-facing apps). NHS procurement thresholds: contracts above £25,000 (ICT) require competitive process in most NHS organisations. Pricing transparency: NHS procurement officers value transparent pricing — avoid opaque enterprise pricing that requires NDAs.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DTAC, NHS DSP Toolkit, UK GDPR Article 9, DCB0129, WCAG 2.1 AA, NHS App Library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DTAC first submission require for HealthTech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DTAC first submission requirements: Domain 1 — completed DCB0129 Clinical Safety Case with Hazard Log, signed by a qualified Clinical Safety Officer. Domain 2 — UK GDPR Article 9 DPIA, NHS DSP Toolkit self-assessment (Standard 1 minimum). Domain 3 — Cyber Essentials (minimum), pen test report (Cyber Essentials Plus preferred). Domain 4 — FHIR R4 capability statement if using NHS APIs. Domain 5 — user research evidence with target NHS users, WCAG 2.1 AA audit.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a HealthTech SaaS serve NHS and private healthcare on the same platform?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but multi-tenant architecture must strictly separate NHS patient data from private patient data, even if it is the same individual. NHS processing basis (public task) differs from private healthcare basis (contract/consent), and the SLA and compliance obligations differ significantly. Separate tenant configurations for NHS vs private: different DSP Toolkit obligations, different retention policies, different access control matrices.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DTAC Compliance Guide UK: /dtac-compliance-guide/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HealthTech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Team</w:t>
            </w:r>
          </w:p>
          <w:p>
            <w:pPr>
              <w:spacing w:after="80" w:before="0"/>
            </w:pPr>
            <w:r>
              <w:rPr>
                <w:rFonts w:ascii="Arial" w:cs="Arial" w:eastAsia="Arial" w:hAnsi="Arial"/>
                <w:b/>
                <w:bCs/>
                <w:color w:val="E8612A"/>
                <w:sz w:val="20"/>
                <w:szCs w:val="20"/>
              </w:rPr>
              <w:t xml:space="preserve">HealthTech specialists</w:t>
            </w:r>
          </w:p>
          <w:p>
            <w:pPr>
              <w:spacing w:after="0" w:before="0"/>
            </w:pPr>
            <w:r>
              <w:rPr>
                <w:rFonts w:ascii="Arial" w:cs="Arial" w:eastAsia="Arial" w:hAnsi="Arial"/>
                <w:color w:val="1A2332"/>
                <w:sz w:val="20"/>
                <w:szCs w:val="20"/>
              </w:rPr>
              <w:t xml:space="preserve">Delivering SaaS Development for UK HealthTech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"healthtech saas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2026-05-26T21:13:42.221Z</dcterms:created>
  <dcterms:modified xsi:type="dcterms:W3CDTF">2026-05-26T21:13:42.221Z</dcterms:modified>
</cp:coreProperties>
</file>

<file path=docProps/custom.xml><?xml version="1.0" encoding="utf-8"?>
<Properties xmlns="http://schemas.openxmlformats.org/officeDocument/2006/custom-properties" xmlns:vt="http://schemas.openxmlformats.org/officeDocument/2006/docPropsVTypes"/>
</file>