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Insurance UK | ClickMasters
META DESC: Legacy Modernisation for UK Insurance. FCA ICOBS. £35,000–£180,000.
SLUG: /insurance-legacy-modernisation/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Insurance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Insurance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Insurance</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Insurance — FCA ICOBS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ICOBS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£35,000–£180,000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Insurance businesses with FCA ICOBS,  Consumer Duty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Insurance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Insurance Legacy System Landscape: </w:t>
      </w:r>
      <w:r>
        <w:rPr>
          <w:rFonts w:ascii="Arial" w:cs="Arial" w:eastAsia="Arial" w:hAnsi="Arial"/>
          <w:b w:val="false"/>
          <w:bCs w:val="false"/>
          <w:i w:val="false"/>
          <w:iCs w:val="false"/>
          <w:color w:val="1A2332"/>
          <w:sz w:val="22"/>
          <w:szCs w:val="22"/>
        </w:rPr>
        <w:t xml:space="preserve">UK insurance legacy landscape: OASYS (legacy general insurance platform — 1980s), Oracle Insurance Policy Administration, CSC Unison, Solcara (claims management, widely deployed), Guidewire PolicyCenter/ClaimCenter/BillingCenter, Duck Creek Platform, and bespoke AS/400 and COBOL systems. Legacy insurance systems typically have: deeply embedded business logic (30+ years of regulatory changes), complex data models (policy structures vary significantly by product), and monolithic deployment (no API layer for modern integration).</w:t>
      </w:r>
    </w:p>
    <w:p>
      <w:pPr>
        <w:spacing w:after="60" w:before="60"/>
      </w:pPr>
    </w:p>
    <w:p>
      <w:pPr>
        <w:spacing w:after="160" w:before="100"/>
      </w:pPr>
      <w:r>
        <w:rPr>
          <w:rFonts w:ascii="Arial" w:cs="Arial" w:eastAsia="Arial" w:hAnsi="Arial"/>
          <w:b/>
          <w:bCs/>
          <w:i w:val="false"/>
          <w:iCs w:val="false"/>
          <w:color w:val="E8612A"/>
          <w:sz w:val="22"/>
          <w:szCs w:val="22"/>
        </w:rPr>
        <w:t xml:space="preserve">Policy Administration System Migration: </w:t>
      </w:r>
      <w:r>
        <w:rPr>
          <w:rFonts w:ascii="Arial" w:cs="Arial" w:eastAsia="Arial" w:hAnsi="Arial"/>
          <w:b w:val="false"/>
          <w:bCs w:val="false"/>
          <w:i w:val="false"/>
          <w:iCs w:val="false"/>
          <w:color w:val="1A2332"/>
          <w:sz w:val="22"/>
          <w:szCs w:val="22"/>
        </w:rPr>
        <w:t xml:space="preserve">Legacy PAS migration: the highest-risk insurance legacy modernisation. Migration pattern: new PAS receives new business from go-live date, legacy PAS runs in parallel for in-force policies (renewed one at a time to new PAS over 2–3 years), legacy PAS decommissioned when last policy expires or is migrated. FCA ICOBS compliance during migration: both systems must be ICOBS compliant at all times — no gap where policies are partially migrated.</w:t>
      </w:r>
    </w:p>
    <w:p>
      <w:pPr>
        <w:spacing w:after="60" w:before="60"/>
      </w:pPr>
    </w:p>
    <w:p>
      <w:pPr>
        <w:spacing w:after="160" w:before="100"/>
      </w:pPr>
      <w:r>
        <w:rPr>
          <w:rFonts w:ascii="Arial" w:cs="Arial" w:eastAsia="Arial" w:hAnsi="Arial"/>
          <w:b/>
          <w:bCs/>
          <w:i w:val="false"/>
          <w:iCs w:val="false"/>
          <w:color w:val="E8612A"/>
          <w:sz w:val="22"/>
          <w:szCs w:val="22"/>
        </w:rPr>
        <w:t xml:space="preserve">Claims System Modernisation: </w:t>
      </w:r>
      <w:r>
        <w:rPr>
          <w:rFonts w:ascii="Arial" w:cs="Arial" w:eastAsia="Arial" w:hAnsi="Arial"/>
          <w:b w:val="false"/>
          <w:bCs w:val="false"/>
          <w:i w:val="false"/>
          <w:iCs w:val="false"/>
          <w:color w:val="1A2332"/>
          <w:sz w:val="22"/>
          <w:szCs w:val="22"/>
        </w:rPr>
        <w:t xml:space="preserve">Claims management legacy replacement: key considerations are claims lifecycle complexity (notification, validation, assessment, settlement, recovery), integration with external databases (CUE Claims Underwriting Exchange, ICA, MOJ portal for personal injury), and the reserves data (financial provisions for outstanding claims — Solvency II QRT reporting). Claims data migration: actuarial sign-off required for reserves accuracy.</w:t>
      </w:r>
    </w:p>
    <w:p>
      <w:pPr>
        <w:spacing w:after="60" w:before="60"/>
      </w:pPr>
    </w:p>
    <w:p>
      <w:pPr>
        <w:spacing w:after="160" w:before="100"/>
      </w:pPr>
      <w:r>
        <w:rPr>
          <w:rFonts w:ascii="Arial" w:cs="Arial" w:eastAsia="Arial" w:hAnsi="Arial"/>
          <w:b/>
          <w:bCs/>
          <w:i w:val="false"/>
          <w:iCs w:val="false"/>
          <w:color w:val="E8612A"/>
          <w:sz w:val="22"/>
          <w:szCs w:val="22"/>
        </w:rPr>
        <w:t xml:space="preserve">UK GDPR Consent and Legacy Insurance Data: </w:t>
      </w:r>
      <w:r>
        <w:rPr>
          <w:rFonts w:ascii="Arial" w:cs="Arial" w:eastAsia="Arial" w:hAnsi="Arial"/>
          <w:b w:val="false"/>
          <w:bCs w:val="false"/>
          <w:i w:val="false"/>
          <w:iCs w:val="false"/>
          <w:color w:val="1A2332"/>
          <w:sz w:val="22"/>
          <w:szCs w:val="22"/>
        </w:rPr>
        <w:t xml:space="preserve">Legacy insurance systems often hold policyholder data processed under pre-GDPR consent or no-longer-valid legal bases. Legacy modernisation is the opportunity for a GDPR data audit: categorise all personal data in legacy systems, identify legal basis for processing, data that lacks a valid basis → delete (do not migrate), and update privacy notices. ICO enforcement priority: insurance sector personal data handling is actively monitored.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ICOBS, Consumer Duty, Solvency II UK, UK GDPR, Lloyd's,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Insurance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£35,000–£180,000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an insurance legacy system modernisation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Legacy insurance PAS migration: 18–36 months for a mid-size insurer (50,000–500,000 policies). Complexity drivers: number of product lines, number of years of policy data, complexity of claims data, and integration with Lloyd's/IFoA/CUE. ClickMasters conducts a Technical Discovery (£3,500–£8,000) to assess the specific legacy system and provide a realistic fixed-price proposal with phased delivery.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biggest FCA risk in insurance legacy modernisation?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ICOBS compliance gap: during migration, any period where policies do not have clearly auditable ICOBS compliance records is a regulatory risk. FCA expectation: continuous compliance — not "compliance resumed after migration." Mitigation: parallel running period (both systems compliant), FCA supervisory notice filed (for significant system changes), and compliance team oversight throughout migration.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Insurance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Insurance Team</w:t>
            </w:r>
          </w:p>
          <w:p>
            <w:pPr>
              <w:spacing w:after="80" w:before="0"/>
            </w:pPr>
            <w:r>
              <w:rPr>
                <w:rFonts w:ascii="Arial" w:cs="Arial" w:eastAsia="Arial" w:hAnsi="Arial"/>
                <w:b/>
                <w:bCs/>
                <w:color w:val="E8612A"/>
                <w:sz w:val="20"/>
                <w:szCs w:val="20"/>
              </w:rPr>
              <w:t xml:space="preserve">Insurance specialists</w:t>
            </w:r>
          </w:p>
          <w:p>
            <w:pPr>
              <w:spacing w:after="0" w:before="0"/>
            </w:pPr>
            <w:r>
              <w:rPr>
                <w:rFonts w:ascii="Arial" w:cs="Arial" w:eastAsia="Arial" w:hAnsi="Arial"/>
                <w:color w:val="1A2332"/>
                <w:sz w:val="20"/>
                <w:szCs w:val="20"/>
              </w:rPr>
              <w:t xml:space="preserve">Delivering Legacy Modernisation for UK Insurance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"insurance legacy modernisation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2026-05-29T08:07:54.210Z</dcterms:created>
  <dcterms:modified xsi:type="dcterms:W3CDTF">2026-05-29T08:07:54.210Z</dcterms:modified>
</cp:coreProperties>
</file>

<file path=docProps/custom.xml><?xml version="1.0" encoding="utf-8"?>
<Properties xmlns="http://schemas.openxmlformats.org/officeDocument/2006/custom-properties" xmlns:vt="http://schemas.openxmlformats.org/officeDocument/2006/docPropsVTypes"/>
</file>