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FinTech UK | ClickMasters
META DESC: SaaS Development for UK FinTech. FCA Consumer Duty. £40,000–£200,000.
SLUG: /fintech-saas-development/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FinTech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FinTech — FCA Consumer Duty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Consumer Duty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FinTech businesses with FCA Consumer Duty,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FinTech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FCA Authorisation in SaaS Architecture: </w:t>
      </w:r>
      <w:r>
        <w:rPr>
          <w:rFonts w:ascii="Arial" w:cs="Arial" w:eastAsia="Arial" w:hAnsi="Arial"/>
          <w:b w:val="false"/>
          <w:bCs w:val="false"/>
          <w:i w:val="false"/>
          <w:iCs w:val="false"/>
          <w:color w:val="1A2332"/>
          <w:sz w:val="22"/>
          <w:szCs w:val="22"/>
        </w:rPr>
        <w:t xml:space="preserve">FinTech SaaS serving FCA-regulated firms creates unique architectural requirements. The SaaS provider is not typically FCA-regulated themselves (if they provide software tools), but their software enables regulated activities. Architecture boundary: SaaS platform provides data and tools; regulated decisions are made by the FCA-authorised firm user. Compliance data isolation: each FCA-regulated firm's regulatory data must be isolated — regulators (FCA) can audit the firm without seeing other firms' data.</w:t>
      </w:r>
    </w:p>
    <w:p>
      <w:pPr>
        <w:spacing w:after="60" w:before="60"/>
      </w:pPr>
    </w:p>
    <w:p>
      <w:pPr>
        <w:spacing w:after="160" w:before="100"/>
      </w:pPr>
      <w:r>
        <w:rPr>
          <w:rFonts w:ascii="Arial" w:cs="Arial" w:eastAsia="Arial" w:hAnsi="Arial"/>
          <w:b/>
          <w:bCs/>
          <w:i w:val="false"/>
          <w:iCs w:val="false"/>
          <w:color w:val="E8612A"/>
          <w:sz w:val="22"/>
          <w:szCs w:val="22"/>
        </w:rPr>
        <w:t xml:space="preserve">Consumer Duty Dashboard SaaS: </w:t>
      </w:r>
      <w:r>
        <w:rPr>
          <w:rFonts w:ascii="Arial" w:cs="Arial" w:eastAsia="Arial" w:hAnsi="Arial"/>
          <w:b w:val="false"/>
          <w:bCs w:val="false"/>
          <w:i w:val="false"/>
          <w:iCs w:val="false"/>
          <w:color w:val="1A2332"/>
          <w:sz w:val="22"/>
          <w:szCs w:val="22"/>
        </w:rPr>
        <w:t xml:space="preserve">FCA Consumer Duty PS22/9 requires firms to monitor consumer outcomes. FinTech SaaS opportunity: Consumer Duty monitoring dashboard serving multiple FCA-regulated firms. Features: four-outcome monitoring (Products and Services, Price and Value, Consumer Understanding, Consumer Support), complaint root cause analysis, vulnerable customer identification, and Board reporting automation. Multi-tenant: each firm's Consumer Duty data isolated — FCA can request a firm's data without accessing other firms.</w:t>
      </w:r>
    </w:p>
    <w:p>
      <w:pPr>
        <w:spacing w:after="60" w:before="60"/>
      </w:pPr>
    </w:p>
    <w:p>
      <w:pPr>
        <w:spacing w:after="160" w:before="100"/>
      </w:pPr>
      <w:r>
        <w:rPr>
          <w:rFonts w:ascii="Arial" w:cs="Arial" w:eastAsia="Arial" w:hAnsi="Arial"/>
          <w:b/>
          <w:bCs/>
          <w:i w:val="false"/>
          <w:iCs w:val="false"/>
          <w:color w:val="E8612A"/>
          <w:sz w:val="22"/>
          <w:szCs w:val="22"/>
        </w:rPr>
        <w:t xml:space="preserve">FCA RegTech SaaS Pricing — What Firms Will Pay: </w:t>
      </w:r>
      <w:r>
        <w:rPr>
          <w:rFonts w:ascii="Arial" w:cs="Arial" w:eastAsia="Arial" w:hAnsi="Arial"/>
          <w:b w:val="false"/>
          <w:bCs w:val="false"/>
          <w:i w:val="false"/>
          <w:iCs w:val="false"/>
          <w:color w:val="1A2332"/>
          <w:sz w:val="22"/>
          <w:szCs w:val="22"/>
        </w:rPr>
        <w:t xml:space="preserve">UK FinTech RegTech SaaS pricing benchmarks: compliance monitoring platforms: £2,000–£15,000/month per firm (depends on headcount and complexity), AML/transaction monitoring: £5,000–£50,000/month, trade reporting: £3,000–£20,000/month. Key insight: regulated firms spend disproportionately on compliance technology — budget anxiety is lower than consumer SaaS. FCA Consumer Duty compliance tools: £1,500–£8,000/month for mid-size firms.</w:t>
      </w:r>
    </w:p>
    <w:p>
      <w:pPr>
        <w:spacing w:after="60" w:before="60"/>
      </w:pPr>
    </w:p>
    <w:p>
      <w:pPr>
        <w:spacing w:after="160" w:before="100"/>
      </w:pPr>
      <w:r>
        <w:rPr>
          <w:rFonts w:ascii="Arial" w:cs="Arial" w:eastAsia="Arial" w:hAnsi="Arial"/>
          <w:b/>
          <w:bCs/>
          <w:i w:val="false"/>
          <w:iCs w:val="false"/>
          <w:color w:val="E8612A"/>
          <w:sz w:val="22"/>
          <w:szCs w:val="22"/>
        </w:rPr>
        <w:t xml:space="preserve">FinTech SaaS Data Portability and Switching: </w:t>
      </w:r>
      <w:r>
        <w:rPr>
          <w:rFonts w:ascii="Arial" w:cs="Arial" w:eastAsia="Arial" w:hAnsi="Arial"/>
          <w:b w:val="false"/>
          <w:bCs w:val="false"/>
          <w:i w:val="false"/>
          <w:iCs w:val="false"/>
          <w:color w:val="1A2332"/>
          <w:sz w:val="22"/>
          <w:szCs w:val="22"/>
        </w:rPr>
        <w:t xml:space="preserve">FCA Consumer Duty (fair value) and UK GDPR (Article 20 data portability): FinTech SaaS must allow regulated firm clients to export their data in machine-readable format. Data portability: all firm data downloadable as CSV/JSON at any time. Switching: 30-day notice with data export assistance. Lock-in avoidance: ClickMasters designs FinTech SaaS with standard data export formats — no proprietary format lock-in that would restrict client switching rights.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FCA Consumer Duty, UK GDPR, FCA COBS, PSD2, Open Banking,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FCA requirements affect FinTech SaaS providers (not operators)?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FinTech SaaS providers (software companies, not FCA-regulated operators): not subject to FCA regulation unless they conduct regulated activities. However: their software may be used to conduct regulated activities, so compliance features matter for sales. Key buyer requirements: ISO 27001 (increasingly required by FCA firms' supplier due diligence), Cyber Essentials Plus, UK GDPR compliance documentation (Article 28 DPA), and evidence that the software supports FCA compliance (Consumer Duty, SM&amp;CR, SMCR).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multi-tenancy work for FinTech SaaS serving multiple FCA firms?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Each FCA-regulated firm is a separate data controller. Architecture: PostgreSQL RLS (Row Level Security) ensuring firm A cannot see firm B's data, separate encryption keys per firm (AWS KMS per-tenant keys for highest sensitivity), and separate audit logs per firm (each firm can receive their own audit log for FCA inspection). FCA audit: FinTech SaaS must be able to provide a specific firm's data to that firm's FCA supervisor without exposing other firms'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FinTech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FinTech specialists</w:t>
            </w:r>
          </w:p>
          <w:p>
            <w:pPr>
              <w:spacing w:after="0" w:before="0"/>
            </w:pPr>
            <w:r>
              <w:rPr>
                <w:rFonts w:ascii="Arial" w:cs="Arial" w:eastAsia="Arial" w:hAnsi="Arial"/>
                <w:color w:val="1A2332"/>
                <w:sz w:val="20"/>
                <w:szCs w:val="20"/>
              </w:rPr>
              <w:t xml:space="preserve">Delivering SaaS Development for UK FinTech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"fintech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2026-05-29T08:27:49.313Z</dcterms:created>
  <dcterms:modified xsi:type="dcterms:W3CDTF">2026-05-29T08:27:49.313Z</dcterms:modified>
</cp:coreProperties>
</file>

<file path=docProps/custom.xml><?xml version="1.0" encoding="utf-8"?>
<Properties xmlns="http://schemas.openxmlformats.org/officeDocument/2006/custom-properties" xmlns:vt="http://schemas.openxmlformats.org/officeDocument/2006/docPropsVTypes"/>
</file>