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Legacy System Modernisation UK — Migrate Without Downtime | ClickMasters
META DESC: UK legacy software modernisation specialists. COBOL to cloud, monolith to microservices, zero-downtime migration. From £25,000. UK GDPR data migration compliance. Free assessment.
SLUG: /legacy-modernisation/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12 min  |  Written by: ClickMasters Engineering Team  |  Reviewed by: James Whitmore, CTO</w:t>
            </w:r>
          </w:p>
        </w:tc>
      </w:tr>
    </w:tbl>
    <w:p>
      <w:pPr>
        <w:spacing w:after="60" w:before="60"/>
      </w:pPr>
    </w:p>
    <w:p>
      <w:pPr>
        <w:spacing w:after="160" w:before="100"/>
      </w:pPr>
      <w:r>
        <w:rPr>
          <w:rFonts w:ascii="Arial" w:cs="Arial" w:eastAsia="Arial" w:hAnsi="Arial"/>
          <w:b w:val="false"/>
          <w:bCs w:val="false"/>
          <w:i w:val="false"/>
          <w:iCs w:val="false"/>
          <w:color w:val="1A4A8A"/>
          <w:sz w:val="22"/>
          <w:szCs w:val="22"/>
        </w:rPr>
        <w:t xml:space="preserve">Home</w:t>
      </w:r>
      <w:r>
        <w:rPr>
          <w:rFonts w:ascii="Arial" w:cs="Arial" w:eastAsia="Arial" w:hAnsi="Arial"/>
          <w:b w:val="false"/>
          <w:bCs w:val="false"/>
          <w:i w:val="false"/>
          <w:iCs w:val="false"/>
          <w:color w:val="5A6E82"/>
          <w:sz w:val="22"/>
          <w:szCs w:val="22"/>
        </w:rPr>
        <w:t xml:space="preserve"> › </w:t>
      </w:r>
      <w:r>
        <w:rPr>
          <w:rFonts w:ascii="Arial" w:cs="Arial" w:eastAsia="Arial" w:hAnsi="Arial"/>
          <w:b w:val="false"/>
          <w:bCs w:val="false"/>
          <w:i w:val="false"/>
          <w:iCs w:val="false"/>
          <w:color w:val="1A4A8A"/>
          <w:sz w:val="22"/>
          <w:szCs w:val="22"/>
        </w:rPr>
        <w:t xml:space="preserve">Services</w:t>
      </w:r>
      <w:r>
        <w:rPr>
          <w:rFonts w:ascii="Arial" w:cs="Arial" w:eastAsia="Arial" w:hAnsi="Arial"/>
          <w:b w:val="false"/>
          <w:bCs w:val="false"/>
          <w:i w:val="false"/>
          <w:iCs w:val="false"/>
          <w:color w:val="5A6E82"/>
          <w:sz w:val="22"/>
          <w:szCs w:val="22"/>
        </w:rPr>
        <w:t xml:space="preserve"> › </w:t>
      </w:r>
      <w:r>
        <w:rPr>
          <w:rFonts w:ascii="Arial" w:cs="Arial" w:eastAsia="Arial" w:hAnsi="Arial"/>
          <w:b/>
          <w:bCs/>
          <w:i w:val="false"/>
          <w:iCs w:val="false"/>
          <w:color w:val="1A2332"/>
          <w:sz w:val="22"/>
          <w:szCs w:val="22"/>
        </w:rPr>
        <w:t xml:space="preserve">Legacy Modernisation UK</w:t>
      </w:r>
    </w:p>
    <w:p>
      <w:pPr>
        <w:spacing w:after="60" w:before="60"/>
      </w:pPr>
    </w:p>
    <w:p>
      <w:pPr>
        <w:pStyle w:val="Heading1"/>
        <w:spacing w:after="160" w:before="360"/>
      </w:pPr>
      <w:r>
        <w:rPr>
          <w:rFonts w:ascii="Arial" w:cs="Arial" w:eastAsia="Arial" w:hAnsi="Arial"/>
          <w:b/>
          <w:bCs/>
          <w:color w:val="0B1F3A"/>
          <w:sz w:val="40"/>
          <w:szCs w:val="40"/>
        </w:rPr>
        <w:t xml:space="preserve">Legacy System Modernisation UK — Migrate Without Downtime or Data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UK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COBOL to Cloud</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Zero Downtime</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GDPR Data Migration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From £25,000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ISO 27001 Aligned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Legacy system modernisation in the UK costs between £25,000 for a focused module rewrite and £150,000+ for a full enterprise platform migration. A legacy system is any software that is difficult or impossible to change safely — typically due to age, technical debt, or outdated technology. Modernisation restores your ability to move fast, reduces maintenance cost, and ensures compliance with current UK GDPR and security standards. ClickMasters uses proven migration patterns — including the strangler fig — to modernise systems incrementally without stopping your business or risking data loss.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True Cost of NOT Modernising</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UK organisations often delay modernisation because the upfront cost feels high. But the ongoing cost of maintaining legacy systems is substantial and growing:</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Maintenance cost: Legacy systems typically consume 60–80% of IT budget on maintenance, leaving only 20–40% for new features.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risk: Legacy systems often lack encryption, audit logging, and data subject rights mechanisms — creating ICO compliance exposure.</w:t>
      </w:r>
    </w:p>
    <w:p>
      <w:pPr>
        <w:pStyle w:val="ListParagraph"/>
        <w:numPr>
          <w:ilvl w:val="0"/>
          <w:numId w:val="2"/>
        </w:numPr>
        <w:spacing w:after="60" w:before="60"/>
      </w:pPr>
      <w:r>
        <w:rPr>
          <w:rFonts w:ascii="Arial" w:cs="Arial" w:eastAsia="Arial" w:hAnsi="Arial"/>
          <w:b w:val="false"/>
          <w:bCs w:val="false"/>
          <w:color w:val="1A2332"/>
          <w:sz w:val="22"/>
          <w:szCs w:val="22"/>
        </w:rPr>
        <w:t xml:space="preserve">Security vulnerability: Old frameworks and dependencies accumulate unpatched CVEs. UK Cyber Essentials requires patch management — legacy systems often cannot be patched without breaking.</w:t>
      </w:r>
    </w:p>
    <w:p>
      <w:pPr>
        <w:pStyle w:val="ListParagraph"/>
        <w:numPr>
          <w:ilvl w:val="0"/>
          <w:numId w:val="2"/>
        </w:numPr>
        <w:spacing w:after="60" w:before="60"/>
      </w:pPr>
      <w:r>
        <w:rPr>
          <w:rFonts w:ascii="Arial" w:cs="Arial" w:eastAsia="Arial" w:hAnsi="Arial"/>
          <w:b w:val="false"/>
          <w:bCs w:val="false"/>
          <w:color w:val="1A2332"/>
          <w:sz w:val="22"/>
          <w:szCs w:val="22"/>
        </w:rPr>
        <w:t xml:space="preserve">Business agility: Every new feature takes 3x longer than it should because developers fear touching a fragile codebase.</w:t>
      </w:r>
    </w:p>
    <w:p>
      <w:pPr>
        <w:pStyle w:val="ListParagraph"/>
        <w:numPr>
          <w:ilvl w:val="0"/>
          <w:numId w:val="2"/>
        </w:numPr>
        <w:spacing w:after="60" w:before="60"/>
      </w:pPr>
      <w:r>
        <w:rPr>
          <w:rFonts w:ascii="Arial" w:cs="Arial" w:eastAsia="Arial" w:hAnsi="Arial"/>
          <w:b w:val="false"/>
          <w:bCs w:val="false"/>
          <w:color w:val="1A2332"/>
          <w:sz w:val="22"/>
          <w:szCs w:val="22"/>
        </w:rPr>
        <w:t xml:space="preserve">Talent risk: Developers with COBOL, FORTRAN, or old frameworks retire. The replacement pool shrinks every year.</w:t>
      </w:r>
    </w:p>
    <w:p>
      <w:pPr>
        <w:pStyle w:val="ListParagraph"/>
        <w:numPr>
          <w:ilvl w:val="0"/>
          <w:numId w:val="2"/>
        </w:numPr>
        <w:spacing w:after="60" w:before="60"/>
      </w:pPr>
      <w:r>
        <w:rPr>
          <w:rFonts w:ascii="Arial" w:cs="Arial" w:eastAsia="Arial" w:hAnsi="Arial"/>
          <w:b w:val="false"/>
          <w:bCs w:val="false"/>
          <w:color w:val="1A2332"/>
          <w:sz w:val="22"/>
          <w:szCs w:val="22"/>
        </w:rPr>
        <w:t xml:space="preserve">Integration impossibility: Modern partners, regulators (HMRC MTD, Open Banking), and customers expect API integration — legacy systems cannot expose APIs without significant work.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4 Modernisation Strategies — Choosing the Right Approach</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There is no single correct modernisation strategy. The right approach depends on: how critical the system is, how much the business logic is embedded in the legacy code, what the timeline and budget constraints are, and how much risk the organisation can tolerate.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226"/>
      </w:tblGrid>
      <w:tr>
        <w:trPr>
          <w:tblHeader/>
        </w:trPr>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Strategy</w:t>
            </w:r>
          </w:p>
        </w:tc>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It Means</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Risk</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Best For</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Rehost (Lift &amp; Shift)</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Move existing system to cloud without changing code. Same application, new infrastructure.</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Low</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Quick win — infrastructure cost reduction and improved resilience. Not a long-term solution.</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Replatform</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Move to cloud with minor changes. Replace database, update runtime. Code stays mostly the same.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Low–Medium</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Cost reduction + some cloud benefits. Good for stable systems that aren't changing much.</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Refactor / Re-architect</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Restructure code significantly without changing external behaviour. Clean up debt, improve architecture.</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When the business logic is sound but the code structure is unmanageable. Best ROI option for many UK SMBs.</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Rebuild (Replace)</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Build new system from scratch. Run in parallel with legacy until new system is proven.</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Higher</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When legacy is too costly to refactor. Strangler fig pattern manages transition risk.</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Strangler Fig Pattern — Modernising Without Big Bang Risk</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The strangler fig pattern (named after the tree that gradually envelops its host) is ClickMasters' preferred approach for high-risk legacy migrations. Instead of replacing the legacy system all at once, you incrementally build new functionality around it — routing traffic to the new system piece by piece until the legacy system is eventually replaced entirely.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Map the legacy system</w:t>
            </w:r>
          </w:p>
          <w:p>
            <w:pPr>
              <w:spacing w:after="0" w:before="0"/>
            </w:pPr>
            <w:r>
              <w:rPr>
                <w:rFonts w:ascii="Arial" w:cs="Arial" w:eastAsia="Arial" w:hAnsi="Arial"/>
                <w:color w:val="1A2332"/>
                <w:sz w:val="22"/>
                <w:szCs w:val="22"/>
              </w:rPr>
              <w:t xml:space="preserve">Identify all modules, their interfaces, their dependencies, and their data flows. Determine which modules have the most business value and the highest technical risk.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Set up a facade/proxy layer</w:t>
            </w:r>
          </w:p>
          <w:p>
            <w:pPr>
              <w:spacing w:after="0" w:before="0"/>
            </w:pPr>
            <w:r>
              <w:rPr>
                <w:rFonts w:ascii="Arial" w:cs="Arial" w:eastAsia="Arial" w:hAnsi="Arial"/>
                <w:color w:val="1A2332"/>
                <w:sz w:val="22"/>
                <w:szCs w:val="22"/>
              </w:rPr>
              <w:t xml:space="preserve">Route all traffic through a new API gateway. Initially, all requests pass straight through to the legacy system. This facade becomes the point of control for gradually shifting traffic.</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Rebuild module by module</w:t>
            </w:r>
          </w:p>
          <w:p>
            <w:pPr>
              <w:spacing w:after="0" w:before="0"/>
            </w:pPr>
            <w:r>
              <w:rPr>
                <w:rFonts w:ascii="Arial" w:cs="Arial" w:eastAsia="Arial" w:hAnsi="Arial"/>
                <w:color w:val="1A2332"/>
                <w:sz w:val="22"/>
                <w:szCs w:val="22"/>
              </w:rPr>
              <w:t xml:space="preserve">Start with a low-risk, high-value module. Build it fresh in modern technology. Test it thoroughly. Route a percentage of traffic to the new implementation and compare results.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Cut over module by module</w:t>
            </w:r>
          </w:p>
          <w:p>
            <w:pPr>
              <w:spacing w:after="0" w:before="0"/>
            </w:pPr>
            <w:r>
              <w:rPr>
                <w:rFonts w:ascii="Arial" w:cs="Arial" w:eastAsia="Arial" w:hAnsi="Arial"/>
                <w:color w:val="1A2332"/>
                <w:sz w:val="22"/>
                <w:szCs w:val="22"/>
              </w:rPr>
              <w:t xml:space="preserve">Once satisfied with the new module, route all traffic to it. The legacy module is now dead code. Repeat for the next highest-priority module.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Retire the legacy system</w:t>
            </w:r>
          </w:p>
          <w:p>
            <w:pPr>
              <w:spacing w:after="0" w:before="0"/>
            </w:pPr>
            <w:r>
              <w:rPr>
                <w:rFonts w:ascii="Arial" w:cs="Arial" w:eastAsia="Arial" w:hAnsi="Arial"/>
                <w:color w:val="1A2332"/>
                <w:sz w:val="22"/>
                <w:szCs w:val="22"/>
              </w:rPr>
              <w:t xml:space="preserve">Once all modules have been replaced, the legacy system is decommissioned. GDPR data migration: archive or delete legacy data per your retention policy.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Legacy Modernisation UK</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legacy system modernisation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focused module refactor: 8–16 weeks. Full system re-architecture: 6–18 months. COBOL mainframe migration: 12–36 months. The best approach is phased — plan the full modernisation but deliver in increments so you see value quickly and can adjust the roadmap based on what you learn.</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modernise COBOL systems?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has experience with COBOL-to-modern-stack migrations for banking and insurance clients. Our approach: comprehensive COBOL analysis (understand business logic embedded in the code), business rules extraction, parallel running (new system alongside legacy for validation), and staged cutover. We do not simply transpile COBOL to Java — we use modernisation as an opportunity to understand and properly document the business logic.</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you handle UK GDPR compliance during data migration?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Data migration is one of the highest-risk moments for GDPR compliance. We address this by: mapping all personal data fields before migration begins, ensuring encryption in transit and at rest throughout, maintaining audit trails of data transformations, validating that the new system correctly implements all data subject rights (erasure, access, portability), and not retaining personal data in migration staging environments longer than necessary.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does zero-downtime migration mean in practice?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Zero-downtime migration means users experience no service interruption during the migration. We achieve this through: database migration strategies (expand/contract pattern, blue-green deployments), feature flags to route traffic to new vs legacy code paths, read replica strategies for database changes, and extensive pre-production testing. For genuinely critical systems (payments, NHS clinical tools), we also maintain a rollback path that can be activated within minutes if problems are detected.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Free Legacy System Assessment</w:t>
            </w:r>
          </w:p>
          <w:p>
            <w:pPr>
              <w:spacing w:after="160" w:before="0"/>
            </w:pPr>
            <w:r>
              <w:rPr>
                <w:rFonts w:ascii="Arial" w:cs="Arial" w:eastAsia="Arial" w:hAnsi="Arial"/>
                <w:color w:val="BDD0E8"/>
                <w:sz w:val="22"/>
                <w:szCs w:val="22"/>
              </w:rPr>
              <w:t xml:space="preserve">We'll review your legacy system, assess modernisation options, and give you a phased roadmap with cost estimates — at no charge.</w:t>
            </w:r>
          </w:p>
          <w:p>
            <w:pPr>
              <w:spacing w:after="0" w:before="0"/>
            </w:pPr>
            <w:r>
              <w:rPr>
                <w:rFonts w:ascii="Arial" w:cs="Arial" w:eastAsia="Arial" w:hAnsi="Arial"/>
                <w:b/>
                <w:bCs/>
                <w:color w:val="E8612A"/>
                <w:sz w:val="22"/>
                <w:szCs w:val="22"/>
              </w:rPr>
              <w:t xml:space="preserve">→ Book Free Legacy Assessment: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Systems Engineering Team</w:t>
            </w:r>
          </w:p>
          <w:p>
            <w:pPr>
              <w:spacing w:after="80" w:before="0"/>
            </w:pPr>
            <w:r>
              <w:rPr>
                <w:rFonts w:ascii="Arial" w:cs="Arial" w:eastAsia="Arial" w:hAnsi="Arial"/>
                <w:b/>
                <w:bCs/>
                <w:color w:val="E8612A"/>
                <w:sz w:val="20"/>
                <w:szCs w:val="20"/>
              </w:rPr>
              <w:t xml:space="preserve">Legacy modernisation and migration specialists — COBOL, mainframe, monolith to microservices</w:t>
            </w:r>
          </w:p>
          <w:p>
            <w:pPr>
              <w:spacing w:after="0" w:before="0"/>
            </w:pPr>
            <w:r>
              <w:rPr>
                <w:rFonts w:ascii="Arial" w:cs="Arial" w:eastAsia="Arial" w:hAnsi="Arial"/>
                <w:color w:val="1A2332"/>
                <w:sz w:val="20"/>
                <w:szCs w:val="20"/>
              </w:rPr>
              <w:t xml:space="preserve">ClickMasters has modernised legacy systems for UK banking, insurance, public sector, and manufacturing clients. Our approach is always incremental and risk-managed — we have never had a production incident caused by a migration project.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Service + FAQPage + BreadcrumbList + Organization
Target keywords: "legacy system modernisation uk" (50/mo), "legacy system migration uk" (500/mo), "cobol modernisation uk" (50/mo)
All FAQ items above implemented as FAQPage structured data in production.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2026-05-20T14:50:39.191Z</dcterms:created>
  <dcterms:modified xsi:type="dcterms:W3CDTF">2026-05-20T14:50:39.191Z</dcterms:modified>
</cp:coreProperties>
</file>

<file path=docProps/custom.xml><?xml version="1.0" encoding="utf-8"?>
<Properties xmlns="http://schemas.openxmlformats.org/officeDocument/2006/custom-properties" xmlns:vt="http://schemas.openxmlformats.org/officeDocument/2006/docPropsVTypes"/>
</file>