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Trade Finance Platform — UK Export Finance Specialist — ClickMasters Case Study
META DESC: A UK export finance specialist providing trade finance facilities to 420 UK exporters needed to rebuild their ...
SLUG: /case-studies/fintech-trade-finance-platform-export/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Trade Finance Platform — UK Export Finance Specialist</w:t>
      </w:r>
    </w:p>
    <w:p>
      <w:pPr>
        <w:spacing w:after="60" w:before="60"/>
      </w:pPr>
    </w:p>
    <w:p>
      <w:pPr>
        <w:pStyle w:val="Heading1"/>
        <w:spacing w:after="160" w:before="360"/>
      </w:pPr>
      <w:r>
        <w:rPr>
          <w:rFonts w:ascii="Arial" w:cs="Arial" w:eastAsia="Arial" w:hAnsi="Arial"/>
          <w:b/>
          <w:bCs/>
          <w:color w:val="0B1F3A"/>
          <w:sz w:val="40"/>
          <w:szCs w:val="40"/>
        </w:rPr>
        <w:t xml:space="preserve">FinTech Trade Finance Platform — UK Export Finance Specialist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Trade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Trade Finance | Tech: React, Node.js/Fastify, PostgreSQL, Dun &amp; Bradstreet API, UKEF API, Google Cloud Vision, SWIFT MT700/MT760, HMRC CDS API, AWS eu-west-2 | Compliance: FCA Consumer Credit Act, UCP 600 (Letters of Credit), MLRs 2017 AML/KYC, UK GDPR, UKEF API terms, HMRC CDS,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export finance specialist providing trade finance facilities to 420 UK exporters needed to rebuild their legacy platform — automating invoice discounting, Letters of Credit (LC) management, and UK Export Finance (UKEF) guarantee integration. FCA Consumer Credit Act (credit agreement compliance for SME exporters), UK GDPR, AML (MLRs 2017), ICC Uniform Customs and Practice for Documentary Credits (UCP 600) for Letters of Credit, and HMRC CDS (Customs Declaration Service) integration for export verification were the requirements. Budget: £120,000.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Invoice Discounting Engine: </w:t>
      </w:r>
      <w:r>
        <w:rPr>
          <w:rFonts w:ascii="Arial" w:cs="Arial" w:eastAsia="Arial" w:hAnsi="Arial"/>
          <w:b w:val="false"/>
          <w:bCs w:val="false"/>
          <w:i w:val="false"/>
          <w:iCs w:val="false"/>
          <w:color w:val="1A2332"/>
          <w:sz w:val="22"/>
          <w:szCs w:val="22"/>
        </w:rPr>
        <w:t xml:space="preserve">Invoice discounting for exporters: exporter submits export invoice (PDF + structured data) → OCR extraction (Google Cloud Vision — exporter, importer, currency, amount, INCO terms, payment terms) → debtor credit check (Dun &amp; Bradstreet Commercial) → importer country risk (UKEF country risk grading) → advance rate calculation (70–85% of invoice value based on country risk + debtor credit). Drawdown: exporter requests drawdown → Faster Payments to exporter account → invoice registered as financed.</w:t>
      </w:r>
    </w:p>
    <w:p>
      <w:pPr>
        <w:spacing w:after="160" w:before="100"/>
      </w:pPr>
      <w:r>
        <w:rPr>
          <w:rFonts w:ascii="Arial" w:cs="Arial" w:eastAsia="Arial" w:hAnsi="Arial"/>
          <w:b/>
          <w:bCs/>
          <w:i w:val="false"/>
          <w:iCs w:val="false"/>
          <w:color w:val="E8612A"/>
          <w:sz w:val="22"/>
          <w:szCs w:val="22"/>
        </w:rPr>
        <w:t xml:space="preserve">Letter of Credit Management: </w:t>
      </w:r>
      <w:r>
        <w:rPr>
          <w:rFonts w:ascii="Arial" w:cs="Arial" w:eastAsia="Arial" w:hAnsi="Arial"/>
          <w:b w:val="false"/>
          <w:bCs w:val="false"/>
          <w:i w:val="false"/>
          <w:iCs w:val="false"/>
          <w:color w:val="1A2332"/>
          <w:sz w:val="22"/>
          <w:szCs w:val="22"/>
        </w:rPr>
        <w:t xml:space="preserve">UCP 600 Letters of Credit: documentary credit process — LC issuance, document presentation (bill of lading, certificate of origin, commercial invoice), document compliance check (UCP 600 requirements), and payment advice. Digital LC: structured LC terms stored in platform. Document checklist: UCP 600 required documents per LC type — platform generates document checklist automatically. SWIFT MT700 (LC issuance) and MT760 (guarantee) message generation for correspondent bank transmission.</w:t>
      </w:r>
    </w:p>
    <w:p>
      <w:pPr>
        <w:spacing w:after="160" w:before="100"/>
      </w:pPr>
      <w:r>
        <w:rPr>
          <w:rFonts w:ascii="Arial" w:cs="Arial" w:eastAsia="Arial" w:hAnsi="Arial"/>
          <w:b/>
          <w:bCs/>
          <w:i w:val="false"/>
          <w:iCs w:val="false"/>
          <w:color w:val="E8612A"/>
          <w:sz w:val="22"/>
          <w:szCs w:val="22"/>
        </w:rPr>
        <w:t xml:space="preserve">UKEF Guarantee Integration: </w:t>
      </w:r>
      <w:r>
        <w:rPr>
          <w:rFonts w:ascii="Arial" w:cs="Arial" w:eastAsia="Arial" w:hAnsi="Arial"/>
          <w:b w:val="false"/>
          <w:bCs w:val="false"/>
          <w:i w:val="false"/>
          <w:iCs w:val="false"/>
          <w:color w:val="1A2332"/>
          <w:sz w:val="22"/>
          <w:szCs w:val="22"/>
        </w:rPr>
        <w:t xml:space="preserve">UK Export Finance (UKEF) Export Insurance Policy: UKEF provides credit risk insurance for UK exporters selling to higher-risk markets. UKEF API: exporter eligibility check, policy application, premium calculation, policy issuance, and claim notification. UKEF country categories (0–7): category 0 = no UKEF cover needed (OECD high-income), category 7 = maximum risk (UKEF provides up to 95% credit risk insurance). Platform: automatic UKEF country category lookup per destination country, suggested insurance cover based on transaction value and country risk.</w:t>
      </w:r>
    </w:p>
    <w:p>
      <w:pPr>
        <w:spacing w:after="160" w:before="100"/>
      </w:pPr>
      <w:r>
        <w:rPr>
          <w:rFonts w:ascii="Arial" w:cs="Arial" w:eastAsia="Arial" w:hAnsi="Arial"/>
          <w:b/>
          <w:bCs/>
          <w:i w:val="false"/>
          <w:iCs w:val="false"/>
          <w:color w:val="E8612A"/>
          <w:sz w:val="22"/>
          <w:szCs w:val="22"/>
        </w:rPr>
        <w:t xml:space="preserve">AML/KYC Trade Finance: </w:t>
      </w:r>
      <w:r>
        <w:rPr>
          <w:rFonts w:ascii="Arial" w:cs="Arial" w:eastAsia="Arial" w:hAnsi="Arial"/>
          <w:b w:val="false"/>
          <w:bCs w:val="false"/>
          <w:i w:val="false"/>
          <w:iCs w:val="false"/>
          <w:color w:val="1A2332"/>
          <w:sz w:val="22"/>
          <w:szCs w:val="22"/>
        </w:rPr>
        <w:t xml:space="preserve">MLRs 2017: trade finance is a high AML risk sector (trade-based money laundering — TBML). Enhanced due diligence: all trade finance clients require enhanced KYC (business verification, UBO identification, sanctions screening, adverse media check). Trade-based money laundering indicators: over/under-invoicing detection (compare invoice value against commodity price benchmarks), phantom shipments (cross-reference against HMRC CDS export declarations), and unusual payment routes (payment from third-party country not involved in trade).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£110,000 — under budget. Invoice discounting approval time: 3.2 days → 4.2 hours automated. LC management: 340 LCs managed in first 6 months (previously Excel-based). UKEF guarantee applications: automated — previously 2 weeks manual. AML flag rate: 2.3% of applications (industry benchmark: 1.8% — conservative calibration reflecting trade finance risk). FCA credit agreement compliance: legal review confirmed compliant.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"4.2 hours invoice discounting approval versus 3.2 days. For an exporter waiting to ship, that turnaround time is the difference between winning and losing an order. UKEF guarantee applications automated — previously 2 weeks manual per application. LC management in a proper platform versus Excel is a transformation. AML flag rate correctly calibrated for trade finance risk." — CEO, UK Export Finance Specialist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Dun &amp; Bradstreet API, UKEF API, Google Cloud Vision, SWIFT MT700/MT760, HMRC CDS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Credit Act, UCP 600 (Letters of Credit), MLRs 2017 AML/KYC, UK GDPR, UKEF API terms, HMRC CDS,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trade finance software uk, invoice discounting platform uk, ukef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2026-05-31T03:00:00.544Z</dcterms:created>
  <dcterms:modified xsi:type="dcterms:W3CDTF">2026-05-31T03:00:00.544Z</dcterms:modified>
</cp:coreProperties>
</file>

<file path=docProps/custom.xml><?xml version="1.0" encoding="utf-8"?>
<Properties xmlns="http://schemas.openxmlformats.org/officeDocument/2006/custom-properties" xmlns:vt="http://schemas.openxmlformats.org/officeDocument/2006/docPropsVTypes"/>
</file>