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FinTech UK RegTech FCA GABRIEL Regulatory Reporting -- ClickMasters Case Study
META DESC: A UK FinTech regulatory technology company needed to build an automated FCA GABRIEL reporting platform for sma...
SLUG: /case-studies/fintech-regtech-fca-gabriel-regulatory-reporting/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FinTech UK RegTech FCA GABRIEL Regulatory Reporting</w:t>
      </w:r>
    </w:p>
    <w:p>
      <w:pPr>
        <w:spacing w:after="60" w:before="60"/>
      </w:pPr>
    </w:p>
    <w:p>
      <w:pPr>
        <w:pStyle w:val="Heading1"/>
        <w:spacing w:after="160" w:before="360"/>
      </w:pPr>
      <w:r>
        <w:rPr>
          <w:rFonts w:ascii="Arial" w:cs="Arial" w:eastAsia="Arial" w:hAnsi="Arial"/>
          <w:b/>
          <w:bCs/>
          <w:color w:val="0B1F3A"/>
          <w:sz w:val="40"/>
          <w:szCs w:val="40"/>
        </w:rPr>
        <w:t xml:space="preserve">FinTech UK RegTech FCA GABRIEL Regulatory Reporting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FinTech / RegTech / FCA Reporting</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Sector: FinTech / RegTech / FCA Reporting | Tech: React, Node.js/Fastify, PostgreSQL (RLS per firm), FCA GABRIEL REST API, FCA Connect OAuth 2.0, Xero API, QuickBooks API, Sage API, AWS eu-west-2 | Compliance: FCA GABRIEL, FCA SUP 16, FCA FEES, UK GDPR, ISO 27001, Cyber Essentials Plus, WCAG 2.1 AA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color w:val="1A2332"/>
          <w:sz w:val="22"/>
          <w:szCs w:val="22"/>
        </w:rPr>
        <w:t xml:space="preserve">A UK FinTech regulatory technology company needed to build an automated FCA GABRIEL reporting platform for small and medium FCA-regulated firms (payment institutions, credit brokers, mortgage intermediaries) -- automating the quarterly and annual GABRIEL submissions that smaller firms struggle to complete manually. FCA GABRIEL (Gathering Better Regulatory Information Electronically), FCA SUP 16 (Supervisory reporting), FCA FEES (regulatory fees), FCA REP (regulatory reporting data items), UK GDPR, ISO 27001, Cyber Essentials Plus. Budget GBP100,000.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color w:val="E8612A"/>
          <w:sz w:val="22"/>
          <w:szCs w:val="22"/>
        </w:rPr>
        <w:t xml:space="preserve">FCA GABRIEL API Integration: </w:t>
      </w:r>
      <w:r>
        <w:rPr>
          <w:rFonts w:ascii="Arial" w:cs="Arial" w:eastAsia="Arial" w:hAnsi="Arial"/>
          <w:b w:val="false"/>
          <w:bCs w:val="false"/>
          <w:color w:val="1A2332"/>
          <w:sz w:val="22"/>
          <w:szCs w:val="22"/>
        </w:rPr>
        <w:t xml:space="preserve">FCA GABRIEL (Gathering Better Regulatory Information Electronically): the FCA's regulatory reporting portal. GABRIEL API: (1) GABRIEL REST API (FCA provides API for programmatic submission of regulatory returns -- OAuth 2.0 authentication via FCA Connect), (2) data items (each FCA-regulated firm has specific regulatory reporting obligations -- data items assigned by FCA based on firm permissions), (3) reporting periods (quarterly, semi-annual, or annual depending on data item), (4) submission validation (GABRIEL validates submissions against FCA business rules before accepting), (5) submission history (previously submitted data available via API -- useful for year-on-year comparison). FCA Connect: firm authentication portal -- ClickMasters RegTech uses FCA Connect OAuth 2.0 for firm-level API access.</w:t>
      </w:r>
    </w:p>
    <w:p>
      <w:pPr>
        <w:spacing w:after="160" w:before="100"/>
      </w:pPr>
      <w:r>
        <w:rPr>
          <w:rFonts w:ascii="Arial" w:cs="Arial" w:eastAsia="Arial" w:hAnsi="Arial"/>
          <w:b/>
          <w:bCs/>
          <w:color w:val="E8612A"/>
          <w:sz w:val="22"/>
          <w:szCs w:val="22"/>
        </w:rPr>
        <w:t xml:space="preserve">SUP 16 Data Item Automation: </w:t>
      </w:r>
      <w:r>
        <w:rPr>
          <w:rFonts w:ascii="Arial" w:cs="Arial" w:eastAsia="Arial" w:hAnsi="Arial"/>
          <w:b w:val="false"/>
          <w:bCs w:val="false"/>
          <w:color w:val="1A2332"/>
          <w:sz w:val="22"/>
          <w:szCs w:val="22"/>
        </w:rPr>
        <w:t xml:space="preserve">FCA SUP 16 (Supervisory Chapter 16): specifies regulatory reporting requirements. Key data items automated by ClickMasters: (1) FIN-A (financial resources return -- capital adequacy, liquidity), (2) FIN-B (profit and loss account -- revenue, expenses), (3) CCR (credit and counterparty risk for investment firms), (4) MSB (Money Service Business -- transaction volumes by type), (5) PSD001/PSD002 (Payment Services Directive returns -- payment volumes, safeguarding), (6) COND (conduct metrics -- complaints, arrears for consumer credit). Source data: ClickMasters integrates with firm accounting systems (Xero, QuickBooks, Sage -- via accounting API) and CRM/origination systems to extract data item inputs automatically.</w:t>
      </w:r>
    </w:p>
    <w:p>
      <w:pPr>
        <w:spacing w:after="160" w:before="100"/>
      </w:pPr>
      <w:r>
        <w:rPr>
          <w:rFonts w:ascii="Arial" w:cs="Arial" w:eastAsia="Arial" w:hAnsi="Arial"/>
          <w:b/>
          <w:bCs/>
          <w:color w:val="E8612A"/>
          <w:sz w:val="22"/>
          <w:szCs w:val="22"/>
        </w:rPr>
        <w:t xml:space="preserve">FCA Fees Automation: </w:t>
      </w:r>
      <w:r>
        <w:rPr>
          <w:rFonts w:ascii="Arial" w:cs="Arial" w:eastAsia="Arial" w:hAnsi="Arial"/>
          <w:b w:val="false"/>
          <w:bCs w:val="false"/>
          <w:color w:val="1A2332"/>
          <w:sz w:val="22"/>
          <w:szCs w:val="22"/>
        </w:rPr>
        <w:t xml:space="preserve">FCA fees calculation: FCA annual fee depends on fee block and tariff data. Fee blocks relevant to payment institutions and credit firms: A.2 (deposit acceptors), E.1 (consumer credit), CC.2 (mortgage intermediaries), IP.1 (payment institutions). Tariff data: each fee block has specific tariff measure (e.g., CC.2 = credit broking income, IP.1 = payment transaction volumes). ClickMasters automates: (1) tariff data extraction (credit income from Xero, payment volumes from transaction system), (2) fee calculation (apply FCA tariff rates -- fee schedule updated annually in April), (3) GABRIEL fees return (submit tariff data to GABRIEL -- FCA calculates fee), (4) fee payment (BACS payment to FCA account). FCA late submission penalty: GBP250 per day -- automated submission reminder 14 days before deadline.</w:t>
      </w:r>
    </w:p>
    <w:p>
      <w:pPr>
        <w:spacing w:after="160" w:before="100"/>
      </w:pPr>
      <w:r>
        <w:rPr>
          <w:rFonts w:ascii="Arial" w:cs="Arial" w:eastAsia="Arial" w:hAnsi="Arial"/>
          <w:b/>
          <w:bCs/>
          <w:color w:val="E8612A"/>
          <w:sz w:val="22"/>
          <w:szCs w:val="22"/>
        </w:rPr>
        <w:t xml:space="preserve">Multi-Firm SaaS Architecture for RegTech: </w:t>
      </w:r>
      <w:r>
        <w:rPr>
          <w:rFonts w:ascii="Arial" w:cs="Arial" w:eastAsia="Arial" w:hAnsi="Arial"/>
          <w:b w:val="false"/>
          <w:bCs w:val="false"/>
          <w:color w:val="1A2332"/>
          <w:sz w:val="22"/>
          <w:szCs w:val="22"/>
        </w:rPr>
        <w:t xml:space="preserve">Multi-firm RegTech SaaS: each FCA-regulated client firm is a tenant. Architecture: (1) firm onboarding (FCA Connect OAuth 2.0 per firm, data item schedule identified), (2) data connections (accounting system API, CRM API -- per firm), (3) automated data extraction (scheduled extraction 7 days before reporting deadline), (4) data review dashboard (firm compliance officer reviews extracted data before submission), (5) GABRIEL submission (firm approves -- ClickMasters submits via GABRIEL API -- submission receipt stored). Compliance officer approval gate: ClickMasters does not submit without firm approval -- the firm remains legally responsible for the submission accuracy. GDPR: each firm's data isolated by PostgreSQL RLS.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color w:val="1A2332"/>
          <w:sz w:val="22"/>
          <w:szCs w:val="22"/>
        </w:rPr>
        <w:t xml:space="preserve">Platform live at 16 weeks, GBP92,000. 84 FCA-regulated firm clients. GABRIEL submissions: 100% on time (zero late penalties). Average data extraction time: 2.4 hours vs 18 hours manual. Submission accuracy: 99.2% first-time acceptance by GABRIEL (8% industry benchmark first-time rejection rate). ISO 27001 maintained. FCA fees automation: 100% correct tariff calculation. WCAG confirmed.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84 firms. GABRIEL 100% on time. Data extraction 2.4 hours vs 18. First-time acceptance 99.2% vs 8% industry rejection rate. ISO 27001. Zero late penalties. The first-time acceptance rate -- 99.2% vs 8% industry rejection -- is the number that matters to compliance officers. A GABRIEL rejection is not just a delay. It is a notification to the FCA that your firm has a data quality problem. Avoiding that notification 8% of the time is worth significant money to firms with FCA supervisory relationships. -- CEO, UK RegTech Company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(RLS per firm), FCA GABRIEL REST API, FCA Connect OAuth 2.0, Xero API, QuickBooks API, Sage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GABRIEL, FCA SUP 16, FCA FEES, UK GDPR, ISO 27001, Cyber Essentials Plus, WCAG 2.1 AA</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fca gabriel reporting automation uk regtech, fca sup 16 automated reporting, regtech fca gabriel saas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2026-06-08T11:07:31.438Z</dcterms:created>
  <dcterms:modified xsi:type="dcterms:W3CDTF">2026-06-08T11:07:31.438Z</dcterms:modified>
</cp:coreProperties>
</file>

<file path=docProps/custom.xml><?xml version="1.0" encoding="utf-8"?>
<Properties xmlns="http://schemas.openxmlformats.org/officeDocument/2006/custom-properties" xmlns:vt="http://schemas.openxmlformats.org/officeDocument/2006/docPropsVTypes"/>
</file>