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CleanTech EV Charging Network Management Platform — ClickMasters Case Study
META DESC: A UK EV charging network operator managing 840 charge points across 280 sites needed to replace 3 separate man...
SLUG: /case-studies/cleantech-ev-charging-network/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CleanTech EV Charging Network Management Platform</w:t>
      </w:r>
    </w:p>
    <w:p>
      <w:pPr>
        <w:spacing w:after="60" w:before="60"/>
      </w:pPr>
    </w:p>
    <w:p>
      <w:pPr>
        <w:pStyle w:val="Heading1"/>
        <w:spacing w:after="160" w:before="360"/>
      </w:pPr>
      <w:r>
        <w:rPr>
          <w:rFonts w:ascii="Arial" w:cs="Arial" w:eastAsia="Arial" w:hAnsi="Arial"/>
          <w:b/>
          <w:bCs/>
          <w:color w:val="0B1F3A"/>
          <w:sz w:val="40"/>
          <w:szCs w:val="40"/>
        </w:rPr>
        <w:t xml:space="preserve">CleanTech EV Charging Network Management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CleanTech / Mobility 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CleanTech / Mobility Tech | Tech: Node.js, OCPP 2.0.1 WebSocket, React Native, PostgreSQL, Stripe, National Grid ESO DFS API, AWS eu-west-2, Terraform | Compliance: UK GDPR (driver charging data), OCPP 2.0.1, OZEV grant reporting, Cyber Essentials, PCI-DSS (Stripe, no card data in 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EV charging network operator managing 840 charge points across 280 sites needed to replace 3 separate management systems — a legacy OCPP 1.6 network management system (no smart charging capability), a separate billing system, and a paper-based maintenance system. OZEV (Office for Zero Emission Vehicles) grant reporting requirements, UK GDPR for driver charging data, and OCPP 2.0.1 (smart charging protocol) were the primary requirements. Budget: £120,000.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OCPP 2.0.1 Central System: </w:t>
      </w:r>
      <w:r>
        <w:rPr>
          <w:rFonts w:ascii="Arial" w:cs="Arial" w:eastAsia="Arial" w:hAnsi="Arial"/>
          <w:b w:val="false"/>
          <w:bCs w:val="false"/>
          <w:i w:val="false"/>
          <w:iCs w:val="false"/>
          <w:color w:val="1A2332"/>
          <w:sz w:val="22"/>
          <w:szCs w:val="22"/>
        </w:rPr>
        <w:t xml:space="preserve">Open Charge Point Protocol 2.0.1 implementation: WebSocket connections from 840 charge points to the central system. OCPP 2.0.1 features over 1.6: smart charging (ISO 15118 Plug &amp; Charge), improved security (TLS mutual authentication), enhanced diagnostics, and local controller support. Charge point firmware upgrades: OTA (over-the-air) update capability via OCPP 2.0.1 FirmwareStatusNotification.</w:t>
      </w:r>
    </w:p>
    <w:p>
      <w:pPr>
        <w:spacing w:after="160" w:before="100"/>
      </w:pPr>
      <w:r>
        <w:rPr>
          <w:rFonts w:ascii="Arial" w:cs="Arial" w:eastAsia="Arial" w:hAnsi="Arial"/>
          <w:b/>
          <w:bCs/>
          <w:i w:val="false"/>
          <w:iCs w:val="false"/>
          <w:color w:val="E8612A"/>
          <w:sz w:val="22"/>
          <w:szCs w:val="22"/>
        </w:rPr>
        <w:t xml:space="preserve">Smart Charging and Grid Integration: </w:t>
      </w:r>
      <w:r>
        <w:rPr>
          <w:rFonts w:ascii="Arial" w:cs="Arial" w:eastAsia="Arial" w:hAnsi="Arial"/>
          <w:b w:val="false"/>
          <w:bCs w:val="false"/>
          <w:i w:val="false"/>
          <w:iCs w:val="false"/>
          <w:color w:val="1A2332"/>
          <w:sz w:val="22"/>
          <w:szCs w:val="22"/>
        </w:rPr>
        <w:t xml:space="preserve">Smart charging profiles: dynamic load balancing per site (prevent grid connection overloading), time-of-use tariff optimisation (charge cheaper off-peak), and vehicle-to-grid (V2G) readiness architecture. Demand Flexibility Service (DFS) integration: National Grid ESO DFS API for demand response events — automatically reduce charging load during grid stress events and report demand reduction.</w:t>
      </w:r>
    </w:p>
    <w:p>
      <w:pPr>
        <w:spacing w:after="160" w:before="100"/>
      </w:pPr>
      <w:r>
        <w:rPr>
          <w:rFonts w:ascii="Arial" w:cs="Arial" w:eastAsia="Arial" w:hAnsi="Arial"/>
          <w:b/>
          <w:bCs/>
          <w:i w:val="false"/>
          <w:iCs w:val="false"/>
          <w:color w:val="E8612A"/>
          <w:sz w:val="22"/>
          <w:szCs w:val="22"/>
        </w:rPr>
        <w:t xml:space="preserve">Driver App and UK GDPR: </w:t>
      </w:r>
      <w:r>
        <w:rPr>
          <w:rFonts w:ascii="Arial" w:cs="Arial" w:eastAsia="Arial" w:hAnsi="Arial"/>
          <w:b w:val="false"/>
          <w:bCs w:val="false"/>
          <w:i w:val="false"/>
          <w:iCs w:val="false"/>
          <w:color w:val="1A2332"/>
          <w:sz w:val="22"/>
          <w:szCs w:val="22"/>
        </w:rPr>
        <w:t xml:space="preserve">React Native driver app: nearby charger map, start/stop charging session, real-time session monitoring, payment (Stripe), receipts, and charging history. UK GDPR: charging session data (location, energy consumed, vehicle identifier) is personal data. Basis: contract performance. Retention: 7 years (VAT record-keeping obligation). Right to access: driver can export all session history.</w:t>
      </w:r>
    </w:p>
    <w:p>
      <w:pPr>
        <w:spacing w:after="160" w:before="100"/>
      </w:pPr>
      <w:r>
        <w:rPr>
          <w:rFonts w:ascii="Arial" w:cs="Arial" w:eastAsia="Arial" w:hAnsi="Arial"/>
          <w:b/>
          <w:bCs/>
          <w:i w:val="false"/>
          <w:iCs w:val="false"/>
          <w:color w:val="E8612A"/>
          <w:sz w:val="22"/>
          <w:szCs w:val="22"/>
        </w:rPr>
        <w:t xml:space="preserve">OZEV Grant Reporting: </w:t>
      </w:r>
      <w:r>
        <w:rPr>
          <w:rFonts w:ascii="Arial" w:cs="Arial" w:eastAsia="Arial" w:hAnsi="Arial"/>
          <w:b w:val="false"/>
          <w:bCs w:val="false"/>
          <w:i w:val="false"/>
          <w:iCs w:val="false"/>
          <w:color w:val="1A2332"/>
          <w:sz w:val="22"/>
          <w:szCs w:val="22"/>
        </w:rPr>
        <w:t xml:space="preserve">OZEV Workplace Charging Scheme (WCS) and EV Infrastructure Grant reporting: automated extraction of qualifying sessions (workplace/residential), energy delivered per session, and compliance with grant conditions (public access requirements). OZEV audit trail: every session logged with OCPP message hash for tamper-evident reporting.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16 weeks, £112,000 — under budget. Charge point uptime: 91% → 98.2% (proactive monitoring replaced reactive complaints). Smart charging: peak site power demand reduced 34% average (preventing grid connection upgrades at 12 sites — estimated £480,000 infrastructure saving). OZEV grant reporting: automated — previously 3 days/quarter manual. Driver NPS: 4.5/5 (legacy app: 2.1/5).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smart charging peak demand reduction saved us £480,000 in grid connection upgrades — that's four times the cost of the platform. The OZEV grant reporting is now automated, and the driver NPS went from 2.1 to 4.5. The previous platform was actively damaging our reputation." — CTO, UK EV Charging Network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 OCPP 2.0.1 WebSocket, React Native, PostgreSQL, Stripe, National Grid ESO DFS API, AWS eu-west-2,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(driver charging data), OCPP 2.0.1, OZEV grant reporting, Cyber Essentials, PCI-DSS (Stripe, no card data in platform)</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ev charging software development uk, ocpp software uk, cleantech mobility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2026-05-26T08:06:01.845Z</dcterms:created>
  <dcterms:modified xsi:type="dcterms:W3CDTF">2026-05-26T08:06:01.845Z</dcterms:modified>
</cp:coreProperties>
</file>

<file path=docProps/custom.xml><?xml version="1.0" encoding="utf-8"?>
<Properties xmlns="http://schemas.openxmlformats.org/officeDocument/2006/custom-properties" xmlns:vt="http://schemas.openxmlformats.org/officeDocument/2006/docPropsVTypes"/>
</file>