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Remote Patient Monitoring Platform — UK Community Nursing — ClickMasters Case Study
META DESC: A UK community healthcare provider delivering care to 4,800 housebound patients needed a remote patient monito...
SLUG: /case-studies/healthtech-remote-patient-monitoring-community/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Remote Patient Monitoring Platform — UK Community Nursing</w:t>
      </w:r>
    </w:p>
    <w:p>
      <w:pPr>
        <w:spacing w:after="60" w:before="60"/>
      </w:pPr>
    </w:p>
    <w:p>
      <w:pPr>
        <w:pStyle w:val="Heading1"/>
        <w:spacing w:after="160" w:before="360"/>
      </w:pPr>
      <w:r>
        <w:rPr>
          <w:rFonts w:ascii="Arial" w:cs="Arial" w:eastAsia="Arial" w:hAnsi="Arial"/>
          <w:b/>
          <w:bCs/>
          <w:color w:val="0B1F3A"/>
          <w:sz w:val="40"/>
          <w:szCs w:val="40"/>
        </w:rPr>
        <w:t xml:space="preserve">HealthTech Remote Patient Monitoring Platform — UK Community Nursing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Community Health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Community Health | Tech: React Native, Node.js/Fastify, PostgreSQL, NHS PDS FHIR R4, Omron BLE SDK, Withings API, Nonin SDK, AWS eu-west-2 | Compliance: DTAC all 5 domains, DCB0129, MHRA Class IIa, UK GDPR Article 9, NHS DSP Toolkit,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community healthcare provider delivering care to 4,800 housebound patients needed a remote patient monitoring (RPM) platform — enabling community nurses to monitor vitals (blood pressure, heart rate, oxygen saturation, weight) between home visits, and detect deterioration early to prevent hospital admission. NHS DSP Toolkit, DTAC all 5 domains, DCB0129 clinical safety, UK GDPR Article 9, MHRA Class IIa device assessment, and NHS Spine integration (PDS for patient demographics) were mandatory.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Connected Device Integration: </w:t>
      </w:r>
      <w:r>
        <w:rPr>
          <w:rFonts w:ascii="Arial" w:cs="Arial" w:eastAsia="Arial" w:hAnsi="Arial"/>
          <w:b w:val="false"/>
          <w:bCs w:val="false"/>
          <w:i w:val="false"/>
          <w:iCs w:val="false"/>
          <w:color w:val="1A2332"/>
          <w:sz w:val="22"/>
          <w:szCs w:val="22"/>
        </w:rPr>
        <w:t xml:space="preserve">Bluetooth medical devices: Omron blood pressure monitors (BLE GATT profile), Nonin oximeters (Nonin SDK), Withings scales (Withings API), and Garmin wearables (Garmin Connect API) as supplementary activity data. React Native patient app: device pairing wizard (Bluetooth permissions, GDPR consent), reading submission, and symptom questionnaire. Background Bluetooth: readings auto-submitted when patient is at home.</w:t>
      </w:r>
    </w:p>
    <w:p>
      <w:pPr>
        <w:spacing w:after="160" w:before="100"/>
      </w:pPr>
      <w:r>
        <w:rPr>
          <w:rFonts w:ascii="Arial" w:cs="Arial" w:eastAsia="Arial" w:hAnsi="Arial"/>
          <w:b/>
          <w:bCs/>
          <w:i w:val="false"/>
          <w:iCs w:val="false"/>
          <w:color w:val="E8612A"/>
          <w:sz w:val="22"/>
          <w:szCs w:val="22"/>
        </w:rPr>
        <w:t xml:space="preserve">Clinical Deterioration Algorithm: </w:t>
      </w:r>
      <w:r>
        <w:rPr>
          <w:rFonts w:ascii="Arial" w:cs="Arial" w:eastAsia="Arial" w:hAnsi="Arial"/>
          <w:b w:val="false"/>
          <w:bCs w:val="false"/>
          <w:i w:val="false"/>
          <w:iCs w:val="false"/>
          <w:color w:val="1A2332"/>
          <w:sz w:val="22"/>
          <w:szCs w:val="22"/>
        </w:rPr>
        <w:t xml:space="preserve">NEWS2 (National Early Warning Score 2): NHS England's standard deterioration scoring system. Aggregate score from: respiratory rate, oxygen saturation, supplemental oxygen, systolic blood pressure, pulse rate, consciousness, temperature. NEWS2 score → alert tier: 0–4 (routine), 5–6 (nurse review within 1 hour), 7+ (emergency escalation within 30 minutes). Algorithm validated against NHS England's published NEWS2 scoring tables.</w:t>
      </w:r>
    </w:p>
    <w:p>
      <w:pPr>
        <w:spacing w:after="160" w:before="100"/>
      </w:pPr>
      <w:r>
        <w:rPr>
          <w:rFonts w:ascii="Arial" w:cs="Arial" w:eastAsia="Arial" w:hAnsi="Arial"/>
          <w:b/>
          <w:bCs/>
          <w:i w:val="false"/>
          <w:iCs w:val="false"/>
          <w:color w:val="E8612A"/>
          <w:sz w:val="22"/>
          <w:szCs w:val="22"/>
        </w:rPr>
        <w:t xml:space="preserve">DCB0129 Clinical Safety: </w:t>
      </w:r>
      <w:r>
        <w:rPr>
          <w:rFonts w:ascii="Arial" w:cs="Arial" w:eastAsia="Arial" w:hAnsi="Arial"/>
          <w:b w:val="false"/>
          <w:bCs w:val="false"/>
          <w:i w:val="false"/>
          <w:iCs w:val="false"/>
          <w:color w:val="1A2332"/>
          <w:sz w:val="22"/>
          <w:szCs w:val="22"/>
        </w:rPr>
        <w:t xml:space="preserve">Clinical Safety Officer: Community Nursing Senior Sister (registered nurse with community care experience). Highest hazard: false negative deterioration detection (algorithm misses deterioration) — mitigated by: NEWS2 algorithm validated against published evidence base, clinical override (nurse can flag concern independent of NEWS2 score), and daily review dashboard (nurse checks all patients regardless of score). False positive (unnecessary alarm) mitigated by: 2-reading confirmation before escalation alert.</w:t>
      </w:r>
    </w:p>
    <w:p>
      <w:pPr>
        <w:spacing w:after="160" w:before="100"/>
      </w:pPr>
      <w:r>
        <w:rPr>
          <w:rFonts w:ascii="Arial" w:cs="Arial" w:eastAsia="Arial" w:hAnsi="Arial"/>
          <w:b/>
          <w:bCs/>
          <w:i w:val="false"/>
          <w:iCs w:val="false"/>
          <w:color w:val="E8612A"/>
          <w:sz w:val="22"/>
          <w:szCs w:val="22"/>
        </w:rPr>
        <w:t xml:space="preserve">NHS PDS Integration and UK GDPR Article 9: </w:t>
      </w:r>
      <w:r>
        <w:rPr>
          <w:rFonts w:ascii="Arial" w:cs="Arial" w:eastAsia="Arial" w:hAnsi="Arial"/>
          <w:b w:val="false"/>
          <w:bCs w:val="false"/>
          <w:i w:val="false"/>
          <w:iCs w:val="false"/>
          <w:color w:val="1A2332"/>
          <w:sz w:val="22"/>
          <w:szCs w:val="22"/>
        </w:rPr>
        <w:t xml:space="preserve">NHS Personal Demographics Service (PDS FHIR R4): patient demographics retrieved by NHS Number — name, address, GP. UK GDPR Article 9(2)(h): processing for provision of health or social care. DSP Toolkit Standard 1: Data Security and Protection Policy. Retention: monitoring data retained for 8 years (community health record statutory minimum). Access control: nurse sees only their allocated patients.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MHRA Class IIa registered. Platform live at 16 weeks, £84,000 — under budget. Hospital admissions (monitored cohort): 23% reduction vs matched unmonitored cohort. NEWS2 score deterioration alerts: 156 alerts in 6 months — 134 resulted in clinical intervention (86% clinically significant). Patient app engagement: 78% of patients submitting readings daily. Community nurse time: proactive monitoring time shifted from 30% to 65% of total patient contact.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"23% reduction in hospital admissions. That is the entire clinical and commercial case for remote monitoring in one number. 134 clinically significant interventions from 156 alerts — an 86% true positive rate for NEWS2 deterioration detection. The MHRA Class IIa pathway was the right decision — this software genuinely influences clinical decisions." — Clinical Director, UK Community Healthcare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Node.js/Fastify, PostgreSQL, NHS PDS FHIR R4, Omron BLE SDK, Withings API, Nonin SDK,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MHRA Class IIa, UK GDPR Article 9, NHS DSP Toolkit,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remote patient monitoring software uk, nhs community health technology uk, healthtech rpm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2026-05-28T08:51:40.337Z</dcterms:created>
  <dcterms:modified xsi:type="dcterms:W3CDTF">2026-05-28T08:51:40.337Z</dcterms:modified>
</cp:coreProperties>
</file>

<file path=docProps/custom.xml><?xml version="1.0" encoding="utf-8"?>
<Properties xmlns="http://schemas.openxmlformats.org/officeDocument/2006/custom-properties" xmlns:vt="http://schemas.openxmlformats.org/officeDocument/2006/docPropsVTypes"/>
</file>