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Commercial Property Management SaaS — UK Property Services Company — ClickMasters Case Study
META DESC: A UK commercial property management company managing 840 commercial properties for 120 clients (investment fun...
SLUG: /case-studies/proptech-commercial-property-management-saas/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Commercial Property Management SaaS — UK Property Services Company</w:t>
      </w:r>
    </w:p>
    <w:p>
      <w:pPr>
        <w:spacing w:after="60" w:before="60"/>
      </w:pPr>
    </w:p>
    <w:p>
      <w:pPr>
        <w:pStyle w:val="Heading1"/>
        <w:spacing w:after="160" w:before="360"/>
      </w:pPr>
      <w:r>
        <w:rPr>
          <w:rFonts w:ascii="Arial" w:cs="Arial" w:eastAsia="Arial" w:hAnsi="Arial"/>
          <w:b/>
          <w:bCs/>
          <w:color w:val="0B1F3A"/>
          <w:sz w:val="40"/>
          <w:szCs w:val="40"/>
        </w:rPr>
        <w:t xml:space="preserve">PropTech Commercial Property Management SaaS — UK Property Services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Commercial Property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Commercial Property | Tech: React, Node.js/Fastify, PostgreSQL, HMRC EPC Register API, GOV.UK Notify, WeasyPrint, HMRC MTD VAT API, AWS eu-west-2 | Compliance: RICS Service Charge Code, MEES 2027, HMRC VAT on commercial property, HMRC MTD,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commercial property management company managing 840 commercial properties for 120 clients (investment funds, REITs, family offices) needed to replace their legacy property management software (MRI Software, 15-year-old installation). Service charge reconciliation, lease event management (break clauses, rent reviews, lease expiries), RICS compliance, MEES 2027 (commercial EPC requirement), and HMRC VAT on commercial property were the requirements.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Lease Event Management Engine: </w:t>
      </w:r>
      <w:r>
        <w:rPr>
          <w:rFonts w:ascii="Arial" w:cs="Arial" w:eastAsia="Arial" w:hAnsi="Arial"/>
          <w:b w:val="false"/>
          <w:bCs w:val="false"/>
          <w:i w:val="false"/>
          <w:iCs w:val="false"/>
          <w:color w:val="1A2332"/>
          <w:sz w:val="22"/>
          <w:szCs w:val="22"/>
        </w:rPr>
        <w:t xml:space="preserve">Commercial lease lifecycle: 25-year leases with quarterly rent reviews, 5-year break clauses, and dilapidations at lease end. Event engine: lease imported as structured data (lease start, term, rent review dates, break clause dates, lease expiry). Automated alerts: 12 months, 6 months, 3 months, 30 days before each event. Break clause management: tenant notice window tracked, landlord counter-notice period, break conditions (all rent paid, covenants complied with). Rent review: upward-only review calculated at review date.</w:t>
      </w:r>
    </w:p>
    <w:p>
      <w:pPr>
        <w:spacing w:after="160" w:before="100"/>
      </w:pPr>
      <w:r>
        <w:rPr>
          <w:rFonts w:ascii="Arial" w:cs="Arial" w:eastAsia="Arial" w:hAnsi="Arial"/>
          <w:b/>
          <w:bCs/>
          <w:i w:val="false"/>
          <w:iCs w:val="false"/>
          <w:color w:val="E8612A"/>
          <w:sz w:val="22"/>
          <w:szCs w:val="22"/>
        </w:rPr>
        <w:t xml:space="preserve">Service Charge Reconciliation: </w:t>
      </w:r>
      <w:r>
        <w:rPr>
          <w:rFonts w:ascii="Arial" w:cs="Arial" w:eastAsia="Arial" w:hAnsi="Arial"/>
          <w:b w:val="false"/>
          <w:bCs w:val="false"/>
          <w:i w:val="false"/>
          <w:iCs w:val="false"/>
          <w:color w:val="1A2332"/>
          <w:sz w:val="22"/>
          <w:szCs w:val="22"/>
        </w:rPr>
        <w:t xml:space="preserve">RICS Service Charge Code: transparent service charge accounting. Annual service charge reconciliation: actual expenditure vs budget, apportioned per lease (by floor area or fixed percentage). Tenant statement: itemised expenditure, each tenant's apportionment calculation. Service charge audit: property manager review workflow before issue to tenants. Dispute management: tenant can raise formal dispute with supporting calculation. RICS reconciliation format: auto-generated PDF in RICS-standard format.</w:t>
      </w:r>
    </w:p>
    <w:p>
      <w:pPr>
        <w:spacing w:after="160" w:before="100"/>
      </w:pPr>
      <w:r>
        <w:rPr>
          <w:rFonts w:ascii="Arial" w:cs="Arial" w:eastAsia="Arial" w:hAnsi="Arial"/>
          <w:b/>
          <w:bCs/>
          <w:i w:val="false"/>
          <w:iCs w:val="false"/>
          <w:color w:val="E8612A"/>
          <w:sz w:val="22"/>
          <w:szCs w:val="22"/>
        </w:rPr>
        <w:t xml:space="preserve">MEES 2027 Portfolio Compliance Dashboard: </w:t>
      </w:r>
      <w:r>
        <w:rPr>
          <w:rFonts w:ascii="Arial" w:cs="Arial" w:eastAsia="Arial" w:hAnsi="Arial"/>
          <w:b w:val="false"/>
          <w:bCs w:val="false"/>
          <w:i w:val="false"/>
          <w:iCs w:val="false"/>
          <w:color w:val="1A2332"/>
          <w:sz w:val="22"/>
          <w:szCs w:val="22"/>
        </w:rPr>
        <w:t xml:space="preserve">MEES (Minimum Energy Efficiency Standards): commercial lettings must have EPC rating E minimum now, EPC C by 2027. Portfolio dashboard: 840 properties × EPC rating → MEES compliance RAG. Properties with EPC D or below: improvement action plan with cost estimate (DEA — Domestic Energy Assessor quotation integration). MEES exemption register: properties where improvement is not cost-effective (valid exemption recorded and displayed). HMRC EPC Register API: EPC data auto-retrieved and refreshed annually.</w:t>
      </w:r>
    </w:p>
    <w:p>
      <w:pPr>
        <w:spacing w:after="160" w:before="100"/>
      </w:pPr>
      <w:r>
        <w:rPr>
          <w:rFonts w:ascii="Arial" w:cs="Arial" w:eastAsia="Arial" w:hAnsi="Arial"/>
          <w:b/>
          <w:bCs/>
          <w:i w:val="false"/>
          <w:iCs w:val="false"/>
          <w:color w:val="E8612A"/>
          <w:sz w:val="22"/>
          <w:szCs w:val="22"/>
        </w:rPr>
        <w:t xml:space="preserve">VAT on Commercial Property — Charging Logic: </w:t>
      </w:r>
      <w:r>
        <w:rPr>
          <w:rFonts w:ascii="Arial" w:cs="Arial" w:eastAsia="Arial" w:hAnsi="Arial"/>
          <w:b w:val="false"/>
          <w:bCs w:val="false"/>
          <w:i w:val="false"/>
          <w:iCs w:val="false"/>
          <w:color w:val="1A2332"/>
          <w:sz w:val="22"/>
          <w:szCs w:val="22"/>
        </w:rPr>
        <w:t xml:space="preserve">HMRC VAT on commercial property: landlords can opt to tax commercial lettings (standard rate 20%). Option to Tax register: HMRC Option to Tax notification (VAT1614A) tracked per property — cannot levy VAT on rent without valid Option to Tax. Rent invoicing: VAT charged only on properties with active Option to Tax. Service charge VAT: follows the VAT treatment of the underlying rent. Auto-generated VAT invoices (Making Tax Digital compliant — digital link from property management to VAT return).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£122,000 — under budget. Lease event zero-miss rate: 100% in first 12 months (legacy: 3 missed break clauses in prior year — each required expensive legal remedy). Service charge reconciliation: 18 working days → 3 working days automated. MEES compliance visibility: 840 properties assessed, 124 below EPC C identified for 2027 action planning. VAT Option to Tax accuracy: 100% (0 invoices issued in error — legacy: 12 in prior year). RICS audit: zero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"Three missed break clauses in the prior year — each required a solicitor and cost us significantly. Zero in the first 12 months on the new platform. The MEES 2027 dashboard put the 124 at-risk properties in front of the right people for the first time. VAT Option to Tax errors were a professional embarrassment — zero errors now." — Managing Director, UK Commercial Property Management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HMRC EPC Register API, GOV.UK Notify, WeasyPrint, HMRC MTD VAT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RICS Service Charge Code, MEES 2027, HMRC VAT on commercial property, HMRC MTD,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proptech commercial property management software uk, rics service charge software uk, mees compliance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2026-05-28T20:43:17.513Z</dcterms:created>
  <dcterms:modified xsi:type="dcterms:W3CDTF">2026-05-28T20:43:17.513Z</dcterms:modified>
</cp:coreProperties>
</file>

<file path=docProps/custom.xml><?xml version="1.0" encoding="utf-8"?>
<Properties xmlns="http://schemas.openxmlformats.org/officeDocument/2006/custom-properties" xmlns:vt="http://schemas.openxmlformats.org/officeDocument/2006/docPropsVTypes"/>
</file>