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Court Listing Management — HM Courts &amp; Tribunals Service Digital — ClickMasters Case Study
META DESC: An HMCTS-contracted specialist digital supplier building a court listing management pilot for a UK Crown Court...
SLUG: /case-studies/legaltech-court-listing-digital-hmcts/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Court Listing Management — HM Courts &amp; Tribunals Service Digital</w:t>
      </w:r>
    </w:p>
    <w:p>
      <w:pPr>
        <w:spacing w:after="60" w:before="60"/>
      </w:pPr>
    </w:p>
    <w:p>
      <w:pPr>
        <w:pStyle w:val="Heading1"/>
        <w:spacing w:after="160" w:before="360"/>
      </w:pPr>
      <w:r>
        <w:rPr>
          <w:rFonts w:ascii="Arial" w:cs="Arial" w:eastAsia="Arial" w:hAnsi="Arial"/>
          <w:b/>
          <w:bCs/>
          <w:color w:val="0B1F3A"/>
          <w:sz w:val="40"/>
          <w:szCs w:val="40"/>
        </w:rPr>
        <w:t xml:space="preserve">LegalTech Court Listing Management — HM Courts &amp; Tribunals Service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GovTech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GovTech | Tech: React, GOV.UK Design System, Python/FastAPI (OR-Tools solver), PostgreSQL, CPS Common Platform API, AWS eu-west-2 | Compliance: UK GDPR (law enforcement), MoJ OFFICIAL-SENSITIVE classification, WCAG 2.1 AA, GDS Service Standard,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HMCTS-contracted specialist digital supplier building a court listing management pilot for a UK Crown Court wanted to modernise manual court diary management. 840 cases per year managed across 12 courtrooms. Crown Prosecution Service (CPS) case management system integration, Judicial Office scheduling requirements, GDPR for defendant and victim personal data, WCAG 2.1 AA (MoJ accessibility standard), and UK Government Secure classification (OFFICIAL-SENSITIVE) were the requirements.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Court Listing Algorithm: </w:t>
      </w:r>
      <w:r>
        <w:rPr>
          <w:rFonts w:ascii="Arial" w:cs="Arial" w:eastAsia="Arial" w:hAnsi="Arial"/>
          <w:b w:val="false"/>
          <w:bCs w:val="false"/>
          <w:i w:val="false"/>
          <w:iCs w:val="false"/>
          <w:color w:val="1A2332"/>
          <w:sz w:val="22"/>
          <w:szCs w:val="22"/>
        </w:rPr>
        <w:t xml:space="preserve">Judicial scheduling constraints: judicial availability (sittings calendar per judge), case type allocation (Crown Court judge grade requirements — Resident Judge, High Court Judge, Recorder), estimated trial length (QC estimate), courtroom availability (12 courtrooms with different configurations), and listing priority (custody time limits — defendants in custody have statutory listing deadlines). Constraint satisfaction solver (Python Google OR-Tools): optimises listing schedule within all constraints.</w:t>
      </w:r>
    </w:p>
    <w:p>
      <w:pPr>
        <w:spacing w:after="160" w:before="100"/>
      </w:pPr>
      <w:r>
        <w:rPr>
          <w:rFonts w:ascii="Arial" w:cs="Arial" w:eastAsia="Arial" w:hAnsi="Arial"/>
          <w:b/>
          <w:bCs/>
          <w:i w:val="false"/>
          <w:iCs w:val="false"/>
          <w:color w:val="E8612A"/>
          <w:sz w:val="22"/>
          <w:szCs w:val="22"/>
        </w:rPr>
        <w:t xml:space="preserve">CPS Common Platform Integration: </w:t>
      </w:r>
      <w:r>
        <w:rPr>
          <w:rFonts w:ascii="Arial" w:cs="Arial" w:eastAsia="Arial" w:hAnsi="Arial"/>
          <w:b w:val="false"/>
          <w:bCs w:val="false"/>
          <w:i w:val="false"/>
          <w:iCs w:val="false"/>
          <w:color w:val="1A2332"/>
          <w:sz w:val="22"/>
          <w:szCs w:val="22"/>
        </w:rPr>
        <w:t xml:space="preserve">CPS Common Platform API: case file retrieval (defendant details, charge particulars, estimated trial length, prosecution evidence status), hearing result submission (conviction, acquittal, sentence), and adjournment recording. OFFICIAL-SENSITIVE data handling: all case data classified OFFICIAL-SENSITIVE — encrypted at rest (AES-256), encrypted in transit (TLS 1.3), and access control (judicial staff only, MFA enforced).</w:t>
      </w:r>
    </w:p>
    <w:p>
      <w:pPr>
        <w:spacing w:after="160" w:before="100"/>
      </w:pPr>
      <w:r>
        <w:rPr>
          <w:rFonts w:ascii="Arial" w:cs="Arial" w:eastAsia="Arial" w:hAnsi="Arial"/>
          <w:b/>
          <w:bCs/>
          <w:i w:val="false"/>
          <w:iCs w:val="false"/>
          <w:color w:val="E8612A"/>
          <w:sz w:val="22"/>
          <w:szCs w:val="22"/>
        </w:rPr>
        <w:t xml:space="preserve">Victim and Defendant Privacy Architecture: </w:t>
      </w:r>
      <w:r>
        <w:rPr>
          <w:rFonts w:ascii="Arial" w:cs="Arial" w:eastAsia="Arial" w:hAnsi="Arial"/>
          <w:b w:val="false"/>
          <w:bCs w:val="false"/>
          <w:i w:val="false"/>
          <w:iCs w:val="false"/>
          <w:color w:val="1A2332"/>
          <w:sz w:val="22"/>
          <w:szCs w:val="22"/>
        </w:rPr>
        <w:t xml:space="preserve">Victim personal data: OFFICIAL-SENSITIVE. Victim names not displayed in court listing public-facing view (victim anonymity — domestic abuse, sexual offences). Defendant data: OFFICIAL-SENSITIVE — listing staff see full defendant details, public court listings show anonymised case reference only (before verdict). UK GDPR Article 6(1)(e) public task basis for criminal justice data processing. ICO registration: Crown Court data processing registered as law enforcement processing.</w:t>
      </w:r>
    </w:p>
    <w:p>
      <w:pPr>
        <w:spacing w:after="160" w:before="100"/>
      </w:pPr>
      <w:r>
        <w:rPr>
          <w:rFonts w:ascii="Arial" w:cs="Arial" w:eastAsia="Arial" w:hAnsi="Arial"/>
          <w:b/>
          <w:bCs/>
          <w:i w:val="false"/>
          <w:iCs w:val="false"/>
          <w:color w:val="E8612A"/>
          <w:sz w:val="22"/>
          <w:szCs w:val="22"/>
        </w:rPr>
        <w:t xml:space="preserve">WCAG 2.1 AA for Judicial Staff: </w:t>
      </w:r>
      <w:r>
        <w:rPr>
          <w:rFonts w:ascii="Arial" w:cs="Arial" w:eastAsia="Arial" w:hAnsi="Arial"/>
          <w:b w:val="false"/>
          <w:bCs w:val="false"/>
          <w:i w:val="false"/>
          <w:iCs w:val="false"/>
          <w:color w:val="1A2332"/>
          <w:sz w:val="22"/>
          <w:szCs w:val="22"/>
        </w:rPr>
        <w:t xml:space="preserve">MoJ accessibility standard: all government digital services must meet WCAG 2.1 AA. Judicial staff range includes older judges who may use assistive technologies. NVDA screen reader testing for: case file viewing, listing creation, and courtroom allocation. Keyboard navigation: complete listing management workflow completable without mouse. High contrast mode: MoJ design system dark mode for court environment lighting.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Pilot live at 14 weeks, £78,000 — under budget. GDS assessment: Beta pass. Court listing time (per day): 4.2 hours → 1.4 hours automated. Custody time limit breaches: zero in pilot period (2 breaches in prior comparable period — CTL breach = automatic bail). WCAG 2.1 AA: zero non-compliances in Cabinet Office monitoring. CPS Common Platform integration: 98.2% successful API calls (first attempt). HMCTS leadership invited pilot expansion to 3 additional Crown Courts.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"Zero custody time limit breaches in the pilot. Two in the prior comparable period — each was a front-page story. The listing automation saved 2.8 hours per day per court. HMCTS leadership invited us to expand to 3 more Crown Courts. The OR-Tools constraint solver handling 12 simultaneous judicial and courtroom constraints was the technical breakthrough." — Programme Director, HMCTS Digital Supplier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GOV.UK Design System, Python/FastAPI (OR-Tools solver), PostgreSQL, CPS Common Platform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(law enforcement), MoJ OFFICIAL-SENSITIVE classification, WCAG 2.1 AA, GDS Service Standard,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legaltech court management software uk, hmcts digital transformation uk, court listing system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2026-05-28T20:51:58.599Z</dcterms:created>
  <dcterms:modified xsi:type="dcterms:W3CDTF">2026-05-28T20:51:58.599Z</dcterms:modified>
</cp:coreProperties>
</file>

<file path=docProps/custom.xml><?xml version="1.0" encoding="utf-8"?>
<Properties xmlns="http://schemas.openxmlformats.org/officeDocument/2006/custom-properties" xmlns:vt="http://schemas.openxmlformats.org/officeDocument/2006/docPropsVTypes"/>
</file>