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Pension Dashboards Programme — UK Pension Provider — ClickMasters Case Study
META DESC: A UK occupational pension scheme provider managing £2.4B AUM for 18,000 members needed to connect their scheme...
SLUG: /case-studies/fintech-pension-dashboards-programme/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Pension Dashboards Programme — UK Pension Provider</w:t>
      </w:r>
    </w:p>
    <w:p>
      <w:pPr>
        <w:spacing w:after="60" w:before="60"/>
      </w:pPr>
    </w:p>
    <w:p>
      <w:pPr>
        <w:pStyle w:val="Heading1"/>
        <w:spacing w:after="160" w:before="360"/>
      </w:pPr>
      <w:r>
        <w:rPr>
          <w:rFonts w:ascii="Arial" w:cs="Arial" w:eastAsia="Arial" w:hAnsi="Arial"/>
          <w:b/>
          <w:bCs/>
          <w:color w:val="0B1F3A"/>
          <w:sz w:val="40"/>
          <w:szCs w:val="40"/>
        </w:rPr>
        <w:t xml:space="preserve">FinTech Pension Dashboards Programme — UK Pension Provider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Pensions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Pensions | Tech: Node.js/Fastify, PostgreSQL, Origo Interface ISP API, AWS eu-west-2 | Compliance: PDP ISP Technical Standards v2.0, FCA Consumer Duty (PS22/9), FCA COBS 13, TPR regulatory requirements, UK GDPR,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occupational pension scheme provider managing £2.4B AUM for 18,000 members needed to connect their scheme to the Pensions Dashboards Programme (PDP) — the UK government's initiative enabling pension savers to see all their pensions in one place. FCA and TPR (The Pensions Regulator) dual regulation, PDP ISP (Integrated Service Provider) technical standards, UK GDPR for pension member data, and Consumer Duty for pension products were the requirements. Budget: £100,000.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PDP ISP Technical Integration: </w:t>
      </w:r>
      <w:r>
        <w:rPr>
          <w:rFonts w:ascii="Arial" w:cs="Arial" w:eastAsia="Arial" w:hAnsi="Arial"/>
          <w:b w:val="false"/>
          <w:bCs w:val="false"/>
          <w:i w:val="false"/>
          <w:iCs w:val="false"/>
          <w:color w:val="1A2332"/>
          <w:sz w:val="22"/>
          <w:szCs w:val="22"/>
        </w:rPr>
        <w:t xml:space="preserve">Pensions Dashboards Programme: pension providers must connect to the MoneyHelper Pensions Dashboard via a PDP-accredited ISP (Integrated Service Provider). Technical standard: PDP API v2.0 (REST, OAuth 2.0, JSON). Required endpoints: find pensions (POST /find — respond with matched pension details), view pensions (GET /view — return pension value, projected income, retirement date). Data standard: PDP data model (pension type, pension arrangement, benefit type, retirement date, values). ISP selection: Origo Interface as ClickMasters-recommended ISP.</w:t>
      </w:r>
    </w:p>
    <w:p>
      <w:pPr>
        <w:spacing w:after="160" w:before="100"/>
      </w:pPr>
      <w:r>
        <w:rPr>
          <w:rFonts w:ascii="Arial" w:cs="Arial" w:eastAsia="Arial" w:hAnsi="Arial"/>
          <w:b/>
          <w:bCs/>
          <w:i w:val="false"/>
          <w:iCs w:val="false"/>
          <w:color w:val="E8612A"/>
          <w:sz w:val="22"/>
          <w:szCs w:val="22"/>
        </w:rPr>
        <w:t xml:space="preserve">Member Matching and UK GDPR: </w:t>
      </w:r>
      <w:r>
        <w:rPr>
          <w:rFonts w:ascii="Arial" w:cs="Arial" w:eastAsia="Arial" w:hAnsi="Arial"/>
          <w:b w:val="false"/>
          <w:bCs w:val="false"/>
          <w:i w:val="false"/>
          <w:iCs w:val="false"/>
          <w:color w:val="1A2332"/>
          <w:sz w:val="22"/>
          <w:szCs w:val="22"/>
        </w:rPr>
        <w:t xml:space="preserve">PDP member matching: pension holder submits find request with name, date of birth, NI number, and address. Matching algorithm: deterministic matching (exact NI number match) + fuzzy matching (name + DoB for approximate matches). UK GDPR: NI number is a sensitive personal identifier — encrypted in transit, not stored in application logs. False positive risk: returning a pension to the wrong person is a significant GDPR breach — matching confidence threshold set conservatively (high precision over recall).</w:t>
      </w:r>
    </w:p>
    <w:p>
      <w:pPr>
        <w:spacing w:after="160" w:before="100"/>
      </w:pPr>
      <w:r>
        <w:rPr>
          <w:rFonts w:ascii="Arial" w:cs="Arial" w:eastAsia="Arial" w:hAnsi="Arial"/>
          <w:b/>
          <w:bCs/>
          <w:i w:val="false"/>
          <w:iCs w:val="false"/>
          <w:color w:val="E8612A"/>
          <w:sz w:val="22"/>
          <w:szCs w:val="22"/>
        </w:rPr>
        <w:t xml:space="preserve">Consumer Duty Pension Product Disclosure: </w:t>
      </w:r>
      <w:r>
        <w:rPr>
          <w:rFonts w:ascii="Arial" w:cs="Arial" w:eastAsia="Arial" w:hAnsi="Arial"/>
          <w:b w:val="false"/>
          <w:bCs w:val="false"/>
          <w:i w:val="false"/>
          <w:iCs w:val="false"/>
          <w:color w:val="1A2332"/>
          <w:sz w:val="22"/>
          <w:szCs w:val="22"/>
        </w:rPr>
        <w:t xml:space="preserve">FCA Consumer Duty PS22/9 applies to pension providers from July 2023. Pension product disclosure requirements: clear statement of pension arrangement type, retirement date, estimated retirement income (Money Purchase Statement — annuity or drawdown basis), and associated charges (in £ and %). PDP view response: all required Consumer Duty disclosures formatted to PDP data standard.</w:t>
      </w:r>
    </w:p>
    <w:p>
      <w:pPr>
        <w:spacing w:after="160" w:before="100"/>
      </w:pPr>
      <w:r>
        <w:rPr>
          <w:rFonts w:ascii="Arial" w:cs="Arial" w:eastAsia="Arial" w:hAnsi="Arial"/>
          <w:b/>
          <w:bCs/>
          <w:i w:val="false"/>
          <w:iCs w:val="false"/>
          <w:color w:val="E8612A"/>
          <w:sz w:val="22"/>
          <w:szCs w:val="22"/>
        </w:rPr>
        <w:t xml:space="preserve">TPR and FCA Dual Regulation Architecture: </w:t>
      </w:r>
      <w:r>
        <w:rPr>
          <w:rFonts w:ascii="Arial" w:cs="Arial" w:eastAsia="Arial" w:hAnsi="Arial"/>
          <w:b w:val="false"/>
          <w:bCs w:val="false"/>
          <w:i w:val="false"/>
          <w:iCs w:val="false"/>
          <w:color w:val="1A2332"/>
          <w:sz w:val="22"/>
          <w:szCs w:val="22"/>
        </w:rPr>
        <w:t xml:space="preserve">Occupational pension schemes: regulated by TPR (The Pensions Regulator) for scheme governance and FCA for any retail investment component. Compliance mapping: TPR Scheme Return data — pension member records match TPR registered membership. FCA consumer communications — pension projections comply with COBS 13 (projections for retail clients). Data sharing: PDP requires sharing member pension data with dashboard providers — ICO DPIA required for this new data sharing activity.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PDP connection live. TPR staging deadline met (June 2025 mandatory staging). 18,000 member records matched and verified. Find request processing time: p95 &lt; 400ms (PDP SLA: &lt; 2 seconds). View request processing time: p95 &lt; 600ms. FCA Consumer Duty pension disclosure: legal review confirmed compliant. ICO DPIA accepted. TPR compliance review: zero findings. PDP team: scheme praised for early staging and data quality.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"TPR staging deadline met — some schemes are months late. 18,000 members now visible on the MoneyHelper dashboard. The matching algorithm getting high precision was critical — a false positive is a serious GDPR event. PDP team praised our data quality. Consumer Duty pension disclosure legally reviewed and confirmed — no remediation required." — Scheme Administrator, UK Occupational Pension Scheme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Node.js/Fastify, PostgreSQL, Origo Interface ISP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PDP ISP Technical Standards v2.0, FCA Consumer Duty (PS22/9), FCA COBS 13, TPR regulatory requirements, UK GDPR,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pension dashboards programme software uk, pdp integration uk, fintech pension technology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2026-05-28T20:51:58.627Z</dcterms:created>
  <dcterms:modified xsi:type="dcterms:W3CDTF">2026-05-28T20:51:58.627Z</dcterms:modified>
</cp:coreProperties>
</file>

<file path=docProps/custom.xml><?xml version="1.0" encoding="utf-8"?>
<Properties xmlns="http://schemas.openxmlformats.org/officeDocument/2006/custom-properties" xmlns:vt="http://schemas.openxmlformats.org/officeDocument/2006/docPropsVTypes"/>
</file>