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REST vs GraphQL vs gRPC — UK API Design Decision (2025) | ClickMasters
META DESC: REST with OpenAPI 3.0 is the standard for UK external APIs — required for FCA COBS machine-readable disclosure, NHS FHIR R4 compliance (FHIR is a REST standard)
SLUG: /rest-vs-graphql-vs-grpc-api-design-uk/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REST vs GraphQL vs gRPC — UK API Design Decision (2025)</w:t>
      </w:r>
    </w:p>
    <w:p>
      <w:pPr>
        <w:spacing w:after="60" w:before="60"/>
      </w:pPr>
    </w:p>
    <w:p>
      <w:pPr>
        <w:pStyle w:val="Heading1"/>
        <w:spacing w:after="160" w:before="360"/>
      </w:pPr>
      <w:r>
        <w:rPr>
          <w:rFonts w:ascii="Arial" w:cs="Arial" w:eastAsia="Arial" w:hAnsi="Arial"/>
          <w:b/>
          <w:bCs/>
          <w:color w:val="0B1F3A"/>
          <w:sz w:val="40"/>
          <w:szCs w:val="40"/>
        </w:rPr>
        <w:t xml:space="preserve">REST vs GraphQL vs gRPC — UK API Architecture Decision Framework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REST with OpenAPI 3.0 is the standard for UK external APIs — required for FCA COBS machine-readable disclosure, NHS FHIR R4 compliance (FHIR is a REST standard), and GOV.UK API design (GDS mandates REST). GraphQL for complex internal data requirements where over-fetching is a genuine problem. gRPC for internal high-performance microservice communication. The decision is not REST vs GraphQL vs gRPC — all three have distinct roles in a well-designed UK 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API design decisions in UK regulated software carry compliance implications. Here is a concise decision framework focused on UK-specific requirements.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REST vs GraphQL vs gRPC — UK API Design Framework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Use Case</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Recommended API</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Reason</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External API (customer-facing, partner)</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REST + OpenAPI 3.0</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COBS disclosure, NHS FHIR compliance, GDS API standards</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FHIR R4 integration</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REST (FHIR R4 spec)</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FHIR IS a REST standard — GraphQL cannot substitute for FHIR</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Open Banking (PSD2)</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REST (OBIE standard)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Open Banking Implementation Entity mandates REST</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Complex dashboard data (many sources)</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GraphQL</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Reduce over-fetching — one query vs multiple REST calls</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Internal microservice communication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gRPC</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Binary protocol — low latency, streaming, strong typing</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GOV.UK API (GDS Service Standard)</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REST + OpenAPI 3.0</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GDS API design guidance mandates REST + OpenAPI</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Mobile app with bandwidth constraints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GraphQL or REST (careful field selection)</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Request exactly the fields needed per view</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Real-time streaming data</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gRPC (bidirectional streaming)</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HTTP/2 streaming — lower overhead than WebSocket for binary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GDS mandate REST for all government digital services?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GDS API design guidance (published on gov.uk) recommends REST + OpenAPI 3.0 for all government APIs. GDS Service Standard assessment criteria include: API documentation is machine-readable (OpenAPI satisfies this), APIs are designed for reuse (REST's standard conventions facilitate this). GDS does not explicitly prohibit GraphQL but the GOV.UK API catalogue and all published GOV.UK APIs use REST. ClickMasters uses REST for all GDS-assessed services.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When is GraphQL a genuine improvement over REST in UK projects?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GraphQL genuinely improves developer productivity when: a dashboard requires data from 5+ REST endpoints per page load (multiple round trips add 200–500ms per endpoint), mobile clients need to minimise payload size (useful on 3G connections for UK users in rural areas), and your frontend team iterates faster than your API team (new fields in the schema without new endpoints). These benefits are real but apply to a minority of UK projects — most benefit more from well-designed REST.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API Development UK: /api-development/</w:t>
      </w:r>
    </w:p>
    <w:p>
      <w:pPr>
        <w:pStyle w:val="ListParagraph"/>
        <w:numPr>
          <w:ilvl w:val="0"/>
          <w:numId w:val="2"/>
        </w:numPr>
        <w:spacing w:after="60" w:before="60"/>
      </w:pPr>
      <w:r>
        <w:rPr>
          <w:rFonts w:ascii="Arial" w:cs="Arial" w:eastAsia="Arial" w:hAnsi="Arial"/>
          <w:color w:val="1A4A8A"/>
          <w:sz w:val="22"/>
          <w:szCs w:val="22"/>
        </w:rPr>
        <w:t xml:space="preserve">GraphQL vs REST API Guide UK: /graphql-vs-rest-api-guide-uk/</w:t>
      </w:r>
    </w:p>
    <w:p>
      <w:pPr>
        <w:pStyle w:val="ListParagraph"/>
        <w:numPr>
          <w:ilvl w:val="0"/>
          <w:numId w:val="2"/>
        </w:numPr>
        <w:spacing w:after="60" w:before="60"/>
      </w:pPr>
      <w:r>
        <w:rPr>
          <w:rFonts w:ascii="Arial" w:cs="Arial" w:eastAsia="Arial" w:hAnsi="Arial"/>
          <w:color w:val="1A4A8A"/>
          <w:sz w:val="22"/>
          <w:szCs w:val="22"/>
        </w:rPr>
        <w:t xml:space="preserve">FinTech Software Development UK: /fintech-software-development/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"rest api vs graphql grpc uk 2025"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2026-05-29T13:55:11.838Z</dcterms:created>
  <dcterms:modified xsi:type="dcterms:W3CDTF">2026-05-29T13:55:11.838Z</dcterms:modified>
</cp:coreProperties>
</file>

<file path=docProps/custom.xml><?xml version="1.0" encoding="utf-8"?>
<Properties xmlns="http://schemas.openxmlformats.org/officeDocument/2006/custom-properties" xmlns:vt="http://schemas.openxmlformats.org/officeDocument/2006/docPropsVTypes"/>
</file>