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SaaS Development for InsurTech UK | ClickMasters
META DESC: SaaS Development for UK InsurTech. FCA ICOBS. £35,000–£180,000.
SLUG: /insurtech-saas-development/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9 min  |  Written by: ClickMasters InsurTech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InsurTech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SaaS Development for InsurTech</w:t>
      </w:r>
    </w:p>
    <w:p>
      <w:pPr>
        <w:spacing w:after="60" w:before="60"/>
      </w:pPr>
    </w:p>
    <w:p>
      <w:pPr>
        <w:pStyle w:val="Heading1"/>
        <w:spacing w:after="160" w:before="360"/>
      </w:pPr>
      <w:r>
        <w:rPr>
          <w:rFonts w:ascii="Arial" w:cs="Arial" w:eastAsia="Arial" w:hAnsi="Arial"/>
          <w:b/>
          <w:bCs/>
          <w:color w:val="0B1F3A"/>
          <w:sz w:val="40"/>
          <w:szCs w:val="40"/>
        </w:rPr>
        <w:t xml:space="preserve">SaaS Development for UK InsurTech — FCA ICOBS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InsurTech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FCA ICOBS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£35,000–£180,000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SaaS Development for UK InsurTech businesses with FCA ICOBS,  Consumer Duty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SaaS Development for InsurTech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Lloyd's Market Association API Integration: </w:t>
      </w:r>
      <w:r>
        <w:rPr>
          <w:rFonts w:ascii="Arial" w:cs="Arial" w:eastAsia="Arial" w:hAnsi="Arial"/>
          <w:b w:val="false"/>
          <w:bCs w:val="false"/>
          <w:i w:val="false"/>
          <w:iCs w:val="false"/>
          <w:color w:val="1A2332"/>
          <w:sz w:val="22"/>
          <w:szCs w:val="22"/>
        </w:rPr>
        <w:t xml:space="preserve">Lloyd's of London digital ecosystem: Lloyd's Risk Exchange (electronic placing platform), Lloyd's Data Lab, and the Atlas network (Lloyd's data sharing platform). InsurTech SaaS accessing Lloyd's market data: Lloyd's API (placement data, syndicate capacity, performance data). London Market Group Digital Blueprint: market-wide digital transformation programme. InsurTech SaaS that integrates with Lloyd's electronic placement creates competitive advantages for Lloyd's syndicates and coverholders.</w:t>
      </w:r>
    </w:p>
    <w:p>
      <w:pPr>
        <w:spacing w:after="60" w:before="60"/>
      </w:pPr>
    </w:p>
    <w:p>
      <w:pPr>
        <w:spacing w:after="160" w:before="100"/>
      </w:pPr>
      <w:r>
        <w:rPr>
          <w:rFonts w:ascii="Arial" w:cs="Arial" w:eastAsia="Arial" w:hAnsi="Arial"/>
          <w:b/>
          <w:bCs/>
          <w:i w:val="false"/>
          <w:iCs w:val="false"/>
          <w:color w:val="E8612A"/>
          <w:sz w:val="22"/>
          <w:szCs w:val="22"/>
        </w:rPr>
        <w:t xml:space="preserve">FCA ICOBS and SaaS Insurance Products: </w:t>
      </w:r>
      <w:r>
        <w:rPr>
          <w:rFonts w:ascii="Arial" w:cs="Arial" w:eastAsia="Arial" w:hAnsi="Arial"/>
          <w:b w:val="false"/>
          <w:bCs w:val="false"/>
          <w:i w:val="false"/>
          <w:iCs w:val="false"/>
          <w:color w:val="1A2332"/>
          <w:sz w:val="22"/>
          <w:szCs w:val="22"/>
        </w:rPr>
        <w:t xml:space="preserve">FCA ICOBS (Insurance Conduct of Business Sourcebook): applies to firms that distribute or arrange non-investment insurance. InsurTech SaaS enabling insurance distribution requires: fair, clear and not misleading communication (ICOBS 2), product information (ICOBS 6 — key information about cover), and complaint handling (ICOBS 8). Consumer Duty (PS22/9): value assessments required for insurance products — ClickMasters builds value assessment reporting dashboards into InsurTech SaaS.</w:t>
      </w:r>
    </w:p>
    <w:p>
      <w:pPr>
        <w:spacing w:after="60" w:before="60"/>
      </w:pPr>
    </w:p>
    <w:p>
      <w:pPr>
        <w:spacing w:after="160" w:before="100"/>
      </w:pPr>
      <w:r>
        <w:rPr>
          <w:rFonts w:ascii="Arial" w:cs="Arial" w:eastAsia="Arial" w:hAnsi="Arial"/>
          <w:b/>
          <w:bCs/>
          <w:i w:val="false"/>
          <w:iCs w:val="false"/>
          <w:color w:val="E8612A"/>
          <w:sz w:val="22"/>
          <w:szCs w:val="22"/>
        </w:rPr>
        <w:t xml:space="preserve">Parametric Insurance SaaS Architecture: </w:t>
      </w:r>
      <w:r>
        <w:rPr>
          <w:rFonts w:ascii="Arial" w:cs="Arial" w:eastAsia="Arial" w:hAnsi="Arial"/>
          <w:b w:val="false"/>
          <w:bCs w:val="false"/>
          <w:i w:val="false"/>
          <w:iCs w:val="false"/>
          <w:color w:val="1A2332"/>
          <w:sz w:val="22"/>
          <w:szCs w:val="22"/>
        </w:rPr>
        <w:t xml:space="preserve">Parametric insurance: pays out based on trigger event (rainfall, wind speed, earthquake magnitude) — not loss assessment. SaaS components: trigger data ingestion (Environment Agency flood data, Met Office weather API, USGS earthquake API), trigger validation (event confirmed within defined parameters), automated payout calculation (based on trigger intensity and coverage amount), and blockchain audit trail (some parametric products use smart contracts). Lloyd's syndicate parametric products are growing rapidly.</w:t>
      </w:r>
    </w:p>
    <w:p>
      <w:pPr>
        <w:spacing w:after="60" w:before="60"/>
      </w:pPr>
    </w:p>
    <w:p>
      <w:pPr>
        <w:spacing w:after="160" w:before="100"/>
      </w:pPr>
      <w:r>
        <w:rPr>
          <w:rFonts w:ascii="Arial" w:cs="Arial" w:eastAsia="Arial" w:hAnsi="Arial"/>
          <w:b/>
          <w:bCs/>
          <w:i w:val="false"/>
          <w:iCs w:val="false"/>
          <w:color w:val="E8612A"/>
          <w:sz w:val="22"/>
          <w:szCs w:val="22"/>
        </w:rPr>
        <w:t xml:space="preserve">UK GDPR and Insurance Data — Special Considerations: </w:t>
      </w:r>
      <w:r>
        <w:rPr>
          <w:rFonts w:ascii="Arial" w:cs="Arial" w:eastAsia="Arial" w:hAnsi="Arial"/>
          <w:b w:val="false"/>
          <w:bCs w:val="false"/>
          <w:i w:val="false"/>
          <w:iCs w:val="false"/>
          <w:color w:val="1A2332"/>
          <w:sz w:val="22"/>
          <w:szCs w:val="22"/>
        </w:rPr>
        <w:t xml:space="preserve">Insurance data sensitivity: health data (life insurance, PMI — Article 9 special category), financial data (claims history, premium payment), and behavioural data (telematics for motor insurance). Claims data: ICO guidance — insurance claims are sensitive even where not Article 9 (financial harm if exposed). InsurTech SaaS multi-tenancy: each insurance firm's policyholder data isolated with RLS. Subject access requests: insurance SaaS must support DSAR export per insurance firm.</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FCA ICOBS, Consumer Duty, Solvency II UK, Lloyd's, UK GDPR, PCI-DSS, Cyber Essentials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InsurTech SaaS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£35,000–£180,000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InsurTech SaaS need FCA authorisation?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InsurTech SaaS that provides software tools to insurers and brokers (not distributing insurance itself) typically does not need FCA authorisation. However: if the SaaS facilitates insurance distribution (e.g., a comparison platform or digital advice tool), the platform operator may need FCA authorisation. InsurTech SaaS that handles customer money (premium collection) requires FCA authorisation as a payment institution. ClickMasters advises on FCA scope as part of Technical Discovery.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Lloyd's Digital Blueprint and how does it affect InsurTech?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Lloyd's Market Association Digital Blueprint (Blueprint One and Blueprint Two) is a multi-year programme to digitise the London insurance market. Key components: Core Data Record (CDR — standardised electronic placement data), electronic placing (electronic contracts replacing paper slips), and Atlas (Lloyd's data sharing platform). InsurTech SaaS that aligns with Blueprint standards has a commercial advantage — syndicates and brokers must adopt digital processes per Blueprint timeline.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InsurTech Software Development UK: /insurtech-software-development/</w:t>
      </w:r>
    </w:p>
    <w:p>
      <w:pPr>
        <w:pStyle w:val="ListParagraph"/>
        <w:numPr>
          <w:ilvl w:val="0"/>
          <w:numId w:val="2"/>
        </w:numPr>
        <w:spacing w:after="60" w:before="60"/>
      </w:pPr>
      <w:r>
        <w:rPr>
          <w:rFonts w:ascii="Arial" w:cs="Arial" w:eastAsia="Arial" w:hAnsi="Arial"/>
          <w:color w:val="1A4A8A"/>
          <w:sz w:val="22"/>
          <w:szCs w:val="22"/>
        </w:rPr>
        <w:t xml:space="preserve">SaaS Development UK: /saas-development/</w:t>
      </w:r>
    </w:p>
    <w:p>
      <w:pPr>
        <w:pStyle w:val="ListParagraph"/>
        <w:numPr>
          <w:ilvl w:val="0"/>
          <w:numId w:val="2"/>
        </w:numPr>
        <w:spacing w:after="60" w:before="60"/>
      </w:pPr>
      <w:r>
        <w:rPr>
          <w:rFonts w:ascii="Arial" w:cs="Arial" w:eastAsia="Arial" w:hAnsi="Arial"/>
          <w:color w:val="1A4A8A"/>
          <w:sz w:val="22"/>
          <w:szCs w:val="22"/>
        </w:rPr>
        <w:t xml:space="preserve">FCA Software Compliance Guide: /fca-software-compliance-guide/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InsurTech SaaS Development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InsurTech Team</w:t>
            </w:r>
          </w:p>
          <w:p>
            <w:pPr>
              <w:spacing w:after="80" w:before="0"/>
            </w:pPr>
            <w:r>
              <w:rPr>
                <w:rFonts w:ascii="Arial" w:cs="Arial" w:eastAsia="Arial" w:hAnsi="Arial"/>
                <w:b/>
                <w:bCs/>
                <w:color w:val="E8612A"/>
                <w:sz w:val="20"/>
                <w:szCs w:val="20"/>
              </w:rPr>
              <w:t xml:space="preserve">InsurTech specialists</w:t>
            </w:r>
          </w:p>
          <w:p>
            <w:pPr>
              <w:spacing w:after="0" w:before="0"/>
            </w:pPr>
            <w:r>
              <w:rPr>
                <w:rFonts w:ascii="Arial" w:cs="Arial" w:eastAsia="Arial" w:hAnsi="Arial"/>
                <w:color w:val="1A2332"/>
                <w:sz w:val="20"/>
                <w:szCs w:val="20"/>
              </w:rPr>
              <w:t xml:space="preserve">Delivering SaaS Development for UK InsurTech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"insurtech saas development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2026-05-29T13:26:38.246Z</dcterms:created>
  <dcterms:modified xsi:type="dcterms:W3CDTF">2026-05-29T13:26:38.246Z</dcterms:modified>
</cp:coreProperties>
</file>

<file path=docProps/custom.xml><?xml version="1.0" encoding="utf-8"?>
<Properties xmlns="http://schemas.openxmlformats.org/officeDocument/2006/custom-properties" xmlns:vt="http://schemas.openxmlformats.org/officeDocument/2006/docPropsVTypes"/>
</file>