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Software Development UK —  FCA Regulated | ClickMasters
META DESC: ClickMasters InsurTech software development specialists. FCA. From £35,000. Free consultation.
SLUG: /insurtech-software-development/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InsurTech Software Development UK — Specialist Builds for UK InsurTech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 Regulated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Consumer Duty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Lloyd's Market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 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Telematics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Solvency II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InsurTech software in the UK is regulated by the FCA as an insurance distribution activity. Software platforms enabling insurance distribution, claims management, or underwriting must support Consumer Duty obligations, FCA authorisation requirements, Solvency II (UK) technical standards for insurers, and Lloyd's Market technology requirements for Lloyds-based businesses. ClickMasters builds InsurTech platforms with FCA Consumer Duty compliance and the technical architecture required for regulated insurance software in the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InsurTech Market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InsurTech is one of the world's most sophisticated insurance technology markets — anchored by Lloyd's of London (the world's specialist insurance market), a strong broker ecosystem, and rapidly growing digital insurers. The UK insurance market is heavily FCA-regulated — software enabling insurance distribution requires FCA authorisation, Consumer Duty compliance, and specific technical architectures for policy management, claims handling, and actuarial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InsurTech Software Requirements — UK Regulatory Context</w:t>
            </w:r>
          </w:p>
        </w:tc>
      </w:tr>
    </w:tbl>
    <w:p>
      <w:pPr>
        <w:spacing w:after="60" w:before="60"/>
      </w:pPr>
    </w:p>
    <w:p>
      <w:pPr>
        <w:spacing w:after="160" w:before="100"/>
      </w:pPr>
      <w:r>
        <w:rPr>
          <w:rFonts w:ascii="Arial" w:cs="Arial" w:eastAsia="Arial" w:hAnsi="Arial"/>
          <w:b/>
          <w:bCs/>
          <w:i w:val="false"/>
          <w:iCs w:val="false"/>
          <w:color w:val="E8612A"/>
          <w:sz w:val="22"/>
          <w:szCs w:val="22"/>
        </w:rPr>
        <w:t xml:space="preserve">FCA Authorisation for Insurance Distribution: </w:t>
      </w:r>
      <w:r>
        <w:rPr>
          <w:rFonts w:ascii="Arial" w:cs="Arial" w:eastAsia="Arial" w:hAnsi="Arial"/>
          <w:b w:val="false"/>
          <w:bCs w:val="false"/>
          <w:i w:val="false"/>
          <w:iCs w:val="false"/>
          <w:color w:val="1A2332"/>
          <w:sz w:val="22"/>
          <w:szCs w:val="22"/>
        </w:rPr>
        <w:t xml:space="preserve">Insurance distribution activities (advising, arranging, or intermediating insurance contracts) require FCA authorisation as an insurance intermediary. Software platforms that enable distribution must support: product information requirements, demands and needs documentation, fair value assessments, and the FCA's Consumer Duty outcome monitoring.</w:t>
      </w:r>
    </w:p>
    <w:p>
      <w:pPr>
        <w:spacing w:after="60" w:before="60"/>
      </w:pPr>
    </w:p>
    <w:p>
      <w:pPr>
        <w:spacing w:after="160" w:before="100"/>
      </w:pPr>
      <w:r>
        <w:rPr>
          <w:rFonts w:ascii="Arial" w:cs="Arial" w:eastAsia="Arial" w:hAnsi="Arial"/>
          <w:b/>
          <w:bCs/>
          <w:i w:val="false"/>
          <w:iCs w:val="false"/>
          <w:color w:val="E8612A"/>
          <w:sz w:val="22"/>
          <w:szCs w:val="22"/>
        </w:rPr>
        <w:t xml:space="preserve">FCA Consumer Duty for Insurance Products: </w:t>
      </w:r>
      <w:r>
        <w:rPr>
          <w:rFonts w:ascii="Arial" w:cs="Arial" w:eastAsia="Arial" w:hAnsi="Arial"/>
          <w:b w:val="false"/>
          <w:bCs w:val="false"/>
          <w:i w:val="false"/>
          <w:iCs w:val="false"/>
          <w:color w:val="1A2332"/>
          <w:sz w:val="22"/>
          <w:szCs w:val="22"/>
        </w:rPr>
        <w:t xml:space="preserve">The Consumer Duty (July 2023) has significant implications for insurance software: pricing must demonstrably provide fair value, claims journeys must not create sludge or barriers, renewal communications must highlight price increases clearly, and vulnerable customers must receive appropriate support. The FCA has specifically scrutinised insurance pricing practices.</w:t>
      </w:r>
    </w:p>
    <w:p>
      <w:pPr>
        <w:spacing w:after="60" w:before="60"/>
      </w:pPr>
    </w:p>
    <w:p>
      <w:pPr>
        <w:spacing w:after="160" w:before="100"/>
      </w:pPr>
      <w:r>
        <w:rPr>
          <w:rFonts w:ascii="Arial" w:cs="Arial" w:eastAsia="Arial" w:hAnsi="Arial"/>
          <w:b/>
          <w:bCs/>
          <w:i w:val="false"/>
          <w:iCs w:val="false"/>
          <w:color w:val="E8612A"/>
          <w:sz w:val="22"/>
          <w:szCs w:val="22"/>
        </w:rPr>
        <w:t xml:space="preserve">Lloyd's Market Technology Requirements: </w:t>
      </w:r>
      <w:r>
        <w:rPr>
          <w:rFonts w:ascii="Arial" w:cs="Arial" w:eastAsia="Arial" w:hAnsi="Arial"/>
          <w:b w:val="false"/>
          <w:bCs w:val="false"/>
          <w:i w:val="false"/>
          <w:iCs w:val="false"/>
          <w:color w:val="1A2332"/>
          <w:sz w:val="22"/>
          <w:szCs w:val="22"/>
        </w:rPr>
        <w:t xml:space="preserve">Software interoperating with Lloyd's of London must connect to Lloyd's Core Infrastructure — including PPL (Placing Platform Limited) for electronic placing, claims systems, and bureau market data. Lloyd's Blueprint Two programme is driving significant technology change across the market. ClickMasters has experience with Lloyd's market technology requirements.</w:t>
      </w:r>
    </w:p>
    <w:p>
      <w:pPr>
        <w:spacing w:after="60" w:before="60"/>
      </w:pPr>
    </w:p>
    <w:p>
      <w:pPr>
        <w:spacing w:after="160" w:before="100"/>
      </w:pPr>
      <w:r>
        <w:rPr>
          <w:rFonts w:ascii="Arial" w:cs="Arial" w:eastAsia="Arial" w:hAnsi="Arial"/>
          <w:b/>
          <w:bCs/>
          <w:i w:val="false"/>
          <w:iCs w:val="false"/>
          <w:color w:val="E8612A"/>
          <w:sz w:val="22"/>
          <w:szCs w:val="22"/>
        </w:rPr>
        <w:t xml:space="preserve">Telematics and IoT Insurance: </w:t>
      </w:r>
      <w:r>
        <w:rPr>
          <w:rFonts w:ascii="Arial" w:cs="Arial" w:eastAsia="Arial" w:hAnsi="Arial"/>
          <w:b w:val="false"/>
          <w:bCs w:val="false"/>
          <w:i w:val="false"/>
          <w:iCs w:val="false"/>
          <w:color w:val="1A2332"/>
          <w:sz w:val="22"/>
          <w:szCs w:val="22"/>
        </w:rPr>
        <w:t xml:space="preserve">Usage-based insurance (UBI) and telematics products process significant volumes of location and behavioural data. UK GDPR implications: location data is personal data, telematics data processed for underwriting purposes must have a clear lawful basis (contract performance is the most robust), and data retention must be proportionate to the underwriting purpose. ICO guidance on connected vehicle data is relevant.</w:t>
      </w:r>
    </w:p>
    <w:p>
      <w:pPr>
        <w:spacing w:after="60" w:before="60"/>
      </w:pPr>
    </w:p>
    <w:p>
      <w:pPr>
        <w:spacing w:after="160" w:before="100"/>
      </w:pPr>
      <w:r>
        <w:rPr>
          <w:rFonts w:ascii="Arial" w:cs="Arial" w:eastAsia="Arial" w:hAnsi="Arial"/>
          <w:b/>
          <w:bCs/>
          <w:i w:val="false"/>
          <w:iCs w:val="false"/>
          <w:color w:val="E8612A"/>
          <w:sz w:val="22"/>
          <w:szCs w:val="22"/>
        </w:rPr>
        <w:t xml:space="preserve">Claims Management Software: </w:t>
      </w:r>
      <w:r>
        <w:rPr>
          <w:rFonts w:ascii="Arial" w:cs="Arial" w:eastAsia="Arial" w:hAnsi="Arial"/>
          <w:b w:val="false"/>
          <w:bCs w:val="false"/>
          <w:i w:val="false"/>
          <w:iCs w:val="false"/>
          <w:color w:val="1A2332"/>
          <w:sz w:val="22"/>
          <w:szCs w:val="22"/>
        </w:rPr>
        <w:t xml:space="preserve">Claims management companies (CMCs) are FCA-regulated. Claims management software must support: initial assessment workflows, evidence gathering and management, settlement calculations, and FCA reporting requirements for CMC performance data. POCA 2002 implications for fraud detection.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InsurTech Compliance checklist: FCA, Consumer Duty, Solvency II (UK), Lloyd's, UK GDPR,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InsurTech Software Services — What ClickMasters Builds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8"/>
        <w:gridCol w:w="1800"/>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428"/>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Platform Build</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Policy management, claims, underwriting, FCA Consumer Duty compliance. From £50,000.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Claims Management System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Digital FNOL, triage automation, settlement workflow, FCA reporting. From £35,000.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Telematics Data Platform</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IoT data ingestion, risk scoring engine, UK GDPR-compliant data processing. From £40,000.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Lloyd's Market Integration</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PPL integration, bureau connectivity, Lloyd's Core Infrastructure. From £30,000.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Insurance Comparison Platform</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Aggregator/comparison platform, FCA-compliant product presentation. From £45,000.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InsurTech Software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building insurance software require FCA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Building technology for the insurance sector does not itself require FCA authorisation — software companies are technology providers, not regulated entities. However, if your platform enables insurance distribution activities (arranging, advising on, or administering insurance contracts) as a principal activity, FCA authorisation may be required. If you're building technology for an FCA-authorised insurer or broker, their authorisation typically covers the use of your technology within their business.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Consumer Duty and how does it affect InsurTech UX?</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(July 2023) requires insurance firms to deliver good outcomes across four areas: products and services (fair value), price and value (transparent pricing), consumer understanding (clear communications), and consumer support (accessible complaints process). For InsurTech software: pricing displays must show total cost clearly, claims journeys must be friction-free, renewal notices must highlight premium changes, and vulnerable customer identification must be built into onboarding flows.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Solvency II UK affect InsurTech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Solvency II (retained into UK law post-Brexit as UK Solvency II) sets capital requirements and risk management standards for UK insurers. Technology implications: risk calculation engines must use Solvency II-compliant actuarial models, regulatory reporting software must support Pillar 3 reporting requirements (QRT templates), and data quality standards for solvency calculations must be demonstrably met. ClickMasters works with actuarial partners for Solvency II modelling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IoT Development UK: /iot-development/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AI Development UK: /ai-development/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InsurTech Software — Free Consultation</w:t>
            </w:r>
          </w:p>
          <w:p>
            <w:pPr>
              <w:spacing w:after="160" w:before="0"/>
            </w:pPr>
            <w:r>
              <w:rPr>
                <w:rFonts w:ascii="Arial" w:cs="Arial" w:eastAsia="Arial" w:hAnsi="Arial"/>
                <w:color w:val="BDD0E8"/>
                <w:sz w:val="22"/>
                <w:szCs w:val="22"/>
              </w:rPr>
              <w:t xml:space="preserve">Book a free 45-minute consultation with a InsurTech specialist. Realistic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software specialists — FCA,  Consumer Duty compliance</w:t>
            </w:r>
          </w:p>
          <w:p>
            <w:pPr>
              <w:spacing w:after="0" w:before="0"/>
            </w:pPr>
            <w:r>
              <w:rPr>
                <w:rFonts w:ascii="Arial" w:cs="Arial" w:eastAsia="Arial" w:hAnsi="Arial"/>
                <w:color w:val="1A2332"/>
                <w:sz w:val="20"/>
                <w:szCs w:val="20"/>
              </w:rPr>
              <w:t xml:space="preserve">ClickMasters has built InsurTech software for UK businesses. Our approach puts regulatory compliance alongside technical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"insurtech software development uk" (200–800/mo)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2026-05-21T11:47:13.459Z</dcterms:created>
  <dcterms:modified xsi:type="dcterms:W3CDTF">2026-05-21T11:47:13.478Z</dcterms:modified>
</cp:coreProperties>
</file>

<file path=docProps/custom.xml><?xml version="1.0" encoding="utf-8"?>
<Properties xmlns="http://schemas.openxmlformats.org/officeDocument/2006/custom-properties" xmlns:vt="http://schemas.openxmlformats.org/officeDocument/2006/docPropsVTypes"/>
</file>