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Legacy Modernisation for GovTech UK | ClickMasters
META DESC: Legacy Modernisation for UK GovTech. GDS Service Standard. £40,000–£200,000.
SLUG: /govtech-legacy-modernisation-gov/</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9 min  |  Written by: ClickMasters GovTech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GovTech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Legacy Modernisation for GovTech</w:t>
      </w:r>
    </w:p>
    <w:p>
      <w:pPr>
        <w:spacing w:after="60" w:before="60"/>
      </w:pPr>
    </w:p>
    <w:p>
      <w:pPr>
        <w:pStyle w:val="Heading1"/>
        <w:spacing w:after="160" w:before="360"/>
      </w:pPr>
      <w:r>
        <w:rPr>
          <w:rFonts w:ascii="Arial" w:cs="Arial" w:eastAsia="Arial" w:hAnsi="Arial"/>
          <w:b/>
          <w:bCs/>
          <w:color w:val="0B1F3A"/>
          <w:sz w:val="40"/>
          <w:szCs w:val="40"/>
        </w:rPr>
        <w:t xml:space="preserve">Legacy Modernisation for UK GovTech — GDS Service Standard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GovTech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GDS Service Standard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£40,000–£200,000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Legacy Modernisation for UK GovTech businesses with GDS Service Standard,  UK GDPR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Legacy Modernisation for GovTech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UK Government Legacy Platform Landscape: </w:t>
      </w:r>
      <w:r>
        <w:rPr>
          <w:rFonts w:ascii="Arial" w:cs="Arial" w:eastAsia="Arial" w:hAnsi="Arial"/>
          <w:b w:val="false"/>
          <w:bCs w:val="false"/>
          <w:i w:val="false"/>
          <w:iCs w:val="false"/>
          <w:color w:val="1A2332"/>
          <w:sz w:val="22"/>
          <w:szCs w:val="22"/>
        </w:rPr>
        <w:t xml:space="preserve">UK government digital legacy: HMRC's PAYE and Self Assessment systems (COBOL-based — some dating from 1960s), DWP Universal Credit legacy benefits (COBOL + Java mixed), MOD legacy defence systems (classified architectures), NHS National Infrastructure (multiple legacy NHAIS — NHS Administrative Information Systems), and Local Government legacy platforms (Northgate Revenues, Capita Academy, CGI Govconnect). GDS Service Standard driving legacy modernisation: government's goal is "digital by default" — legacy systems that cannot provide digital-first services are being replaced. ClickMasters has modernised 12 UK government digital services.</w:t>
      </w:r>
    </w:p>
    <w:p>
      <w:pPr>
        <w:spacing w:after="60" w:before="60"/>
      </w:pPr>
    </w:p>
    <w:p>
      <w:pPr>
        <w:spacing w:after="160" w:before="100"/>
      </w:pPr>
      <w:r>
        <w:rPr>
          <w:rFonts w:ascii="Arial" w:cs="Arial" w:eastAsia="Arial" w:hAnsi="Arial"/>
          <w:b/>
          <w:bCs/>
          <w:i w:val="false"/>
          <w:iCs w:val="false"/>
          <w:color w:val="E8612A"/>
          <w:sz w:val="22"/>
          <w:szCs w:val="22"/>
        </w:rPr>
        <w:t xml:space="preserve">GDS Assessment for Legacy-Replacement Services: </w:t>
      </w:r>
      <w:r>
        <w:rPr>
          <w:rFonts w:ascii="Arial" w:cs="Arial" w:eastAsia="Arial" w:hAnsi="Arial"/>
          <w:b w:val="false"/>
          <w:bCs w:val="false"/>
          <w:i w:val="false"/>
          <w:iCs w:val="false"/>
          <w:color w:val="1A2332"/>
          <w:sz w:val="22"/>
          <w:szCs w:val="22"/>
        </w:rPr>
        <w:t xml:space="preserve">When a government digital service replaces a legacy system, it must undergo GDS service assessment (Alpha, Beta, Live). Legacy data migration: GDS assessors specifically look for evidence that legacy data migration has been planned and tested. GDS service standard Point 17: identify and understand technical, legal, and organisational constraints — legacy technical debt and data quality issues must be documented. ClickMasters GDS legacy modernisation approach: (1) Discovery includes legacy system documentation, (2) Alpha includes data migration proof of concept, (3) Beta includes parallel running (legacy + new), (4) Live includes legacy decommission plan.</w:t>
      </w:r>
    </w:p>
    <w:p>
      <w:pPr>
        <w:spacing w:after="60" w:before="60"/>
      </w:pPr>
    </w:p>
    <w:p>
      <w:pPr>
        <w:spacing w:after="160" w:before="100"/>
      </w:pPr>
      <w:r>
        <w:rPr>
          <w:rFonts w:ascii="Arial" w:cs="Arial" w:eastAsia="Arial" w:hAnsi="Arial"/>
          <w:b/>
          <w:bCs/>
          <w:i w:val="false"/>
          <w:iCs w:val="false"/>
          <w:color w:val="E8612A"/>
          <w:sz w:val="22"/>
          <w:szCs w:val="22"/>
        </w:rPr>
        <w:t xml:space="preserve">GDPR Data Migration for Government Legacy: </w:t>
      </w:r>
      <w:r>
        <w:rPr>
          <w:rFonts w:ascii="Arial" w:cs="Arial" w:eastAsia="Arial" w:hAnsi="Arial"/>
          <w:b w:val="false"/>
          <w:bCs w:val="false"/>
          <w:i w:val="false"/>
          <w:iCs w:val="false"/>
          <w:color w:val="1A2332"/>
          <w:sz w:val="22"/>
          <w:szCs w:val="22"/>
        </w:rPr>
        <w:t xml:space="preserve">UK government legacy data migration: most legacy systems contain personal data that pre-dates UK GDPR (GDPR-compliant basis may not have been documented). Data migration approach: (1) legacy data audit (what personal data exists, legal basis for processing, retention period), (2) GDPR-compliant migration (migrate only data with valid legal basis, delete excess), (3) data minimisation (new system collects only what is needed), (4) privacy notice update (new digital service privacy notice), (5) retention schedule (automated deletion in new system). ICO: government organisations migrating legacy systems should conduct a DPIA (Data Protection Impact Assessment) — ClickMasters produces DPIA as part of GDS Discovery.</w:t>
      </w:r>
    </w:p>
    <w:p>
      <w:pPr>
        <w:spacing w:after="60" w:before="60"/>
      </w:pPr>
    </w:p>
    <w:p>
      <w:pPr>
        <w:spacing w:after="160" w:before="100"/>
      </w:pPr>
      <w:r>
        <w:rPr>
          <w:rFonts w:ascii="Arial" w:cs="Arial" w:eastAsia="Arial" w:hAnsi="Arial"/>
          <w:b/>
          <w:bCs/>
          <w:i w:val="false"/>
          <w:iCs w:val="false"/>
          <w:color w:val="E8612A"/>
          <w:sz w:val="22"/>
          <w:szCs w:val="22"/>
        </w:rPr>
        <w:t xml:space="preserve">GOV.UK One Login Migration for Legacy Government Services: </w:t>
      </w:r>
      <w:r>
        <w:rPr>
          <w:rFonts w:ascii="Arial" w:cs="Arial" w:eastAsia="Arial" w:hAnsi="Arial"/>
          <w:b w:val="false"/>
          <w:bCs w:val="false"/>
          <w:i w:val="false"/>
          <w:iCs w:val="false"/>
          <w:color w:val="1A2332"/>
          <w:sz w:val="22"/>
          <w:szCs w:val="22"/>
        </w:rPr>
        <w:t xml:space="preserve">GOV.UK One Login: CDDO (Central Digital and Data Office) programme to replace fragmented government identity systems (Government Gateway, Verify) with a single cross-government sign-on. Legacy services with their own authentication: migrating to GOV.UK One Login as part of legacy modernisation. One Login migration: (1) existing users prompted to link their One Login account, (2) legacy user data migrated (email address, preferences), (3) legacy authentication removed. Benefits: users have one login for all government services — reduces friction and improves security (One Login MFA mandatory).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GDS Service Standard, UK GDPR, NCSC, Cyber Essentials Plus, PSBAR, GOV.UK Pay, GOV.UK Notify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GovTech Legacy Modernisation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government legacy modernisation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UK government legacy modernisation with GDS assessment: Discovery (12 weeks — GDS Alpha pre-work, legacy audit, data migration proof of concept), Alpha (12–16 weeks — prototype, user research, GDS Alpha assessment), Beta (20–30 weeks — build, parallel running with legacy, Beta assessment), and Live (Legacy decommission after 3–6 months Live). Total: 48–64 weeks from Discovery to Legacy decommission. Budget: £40,000–£200,000 depending on legacy complexity. ClickMasters: fixed-price for each phase — Discovery price first, build price after Discovery findings confirm scope.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we get GDS Beta assessment passed first time?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GDS Beta first-attempt pass record: 8 out of 10 government services assessed at Beta have passed first attempt. Key factors for first-attempt pass: (1) User Research — minimum 5 participant rounds with real users including those with access needs. (2) Accessibility — WCAG 2.1 AA with published Accessibility Statement. (3) Performance — Lighthouse CI LCP &lt; 3s on 3G. (4) Security — NCSC 14 Principles compliance statement. (5) Data protection — DPIA completed and ICO registration confirmed. ClickMasters prepares a GDS Assessment Evidence Pack before every assessment — no surprises.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GovTech Software Development UK: /govtech-software-development/</w:t>
      </w:r>
    </w:p>
    <w:p>
      <w:pPr>
        <w:pStyle w:val="ListParagraph"/>
        <w:numPr>
          <w:ilvl w:val="0"/>
          <w:numId w:val="2"/>
        </w:numPr>
        <w:spacing w:after="60" w:before="60"/>
      </w:pPr>
      <w:r>
        <w:rPr>
          <w:rFonts w:ascii="Arial" w:cs="Arial" w:eastAsia="Arial" w:hAnsi="Arial"/>
          <w:color w:val="1A4A8A"/>
          <w:sz w:val="22"/>
          <w:szCs w:val="22"/>
        </w:rPr>
        <w:t xml:space="preserve">Legacy Modernisation UK: /legacy-modernisation/</w:t>
      </w:r>
    </w:p>
    <w:p>
      <w:pPr>
        <w:pStyle w:val="ListParagraph"/>
        <w:numPr>
          <w:ilvl w:val="0"/>
          <w:numId w:val="2"/>
        </w:numPr>
        <w:spacing w:after="60" w:before="60"/>
      </w:pPr>
      <w:r>
        <w:rPr>
          <w:rFonts w:ascii="Arial" w:cs="Arial" w:eastAsia="Arial" w:hAnsi="Arial"/>
          <w:color w:val="1A4A8A"/>
          <w:sz w:val="22"/>
          <w:szCs w:val="22"/>
        </w:rPr>
        <w:t xml:space="preserve">GDS Service Standard Guide UK: /gds-service-standard-guide-uk/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GovTech Legacy Modernisation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GovTech Team</w:t>
            </w:r>
          </w:p>
          <w:p>
            <w:pPr>
              <w:spacing w:after="80" w:before="0"/>
            </w:pPr>
            <w:r>
              <w:rPr>
                <w:rFonts w:ascii="Arial" w:cs="Arial" w:eastAsia="Arial" w:hAnsi="Arial"/>
                <w:b/>
                <w:bCs/>
                <w:color w:val="E8612A"/>
                <w:sz w:val="20"/>
                <w:szCs w:val="20"/>
              </w:rPr>
              <w:t xml:space="preserve">GovTech specialists</w:t>
            </w:r>
          </w:p>
          <w:p>
            <w:pPr>
              <w:spacing w:after="0" w:before="0"/>
            </w:pPr>
            <w:r>
              <w:rPr>
                <w:rFonts w:ascii="Arial" w:cs="Arial" w:eastAsia="Arial" w:hAnsi="Arial"/>
                <w:color w:val="1A2332"/>
                <w:sz w:val="20"/>
                <w:szCs w:val="20"/>
              </w:rPr>
              <w:t xml:space="preserve">Delivering Legacy Modernisation for UK GovTech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"govtech legacy modernisation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2026-06-03T06:36:00.866Z</dcterms:created>
  <dcterms:modified xsi:type="dcterms:W3CDTF">2026-06-03T06:36:00.866Z</dcterms:modified>
</cp:coreProperties>
</file>

<file path=docProps/custom.xml><?xml version="1.0" encoding="utf-8"?>
<Properties xmlns="http://schemas.openxmlformats.org/officeDocument/2006/custom-properties" xmlns:vt="http://schemas.openxmlformats.org/officeDocument/2006/docPropsVTypes"/>
</file>