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EdTech UK | ClickMasters
META DESC: Legacy Modernisation for UK EdTech. ICO AADC. £25,000–£120,000.
SLUG: /edtech-legacy-modernisation-edtech/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EdTech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EdTech Legacy Platform Landscape: </w:t>
      </w:r>
      <w:r>
        <w:rPr>
          <w:rFonts w:ascii="Arial" w:cs="Arial" w:eastAsia="Arial" w:hAnsi="Arial"/>
          <w:b w:val="false"/>
          <w:bCs w:val="false"/>
          <w:i w:val="false"/>
          <w:iCs w:val="false"/>
          <w:color w:val="1A2332"/>
          <w:sz w:val="22"/>
          <w:szCs w:val="22"/>
        </w:rPr>
        <w:t xml:space="preserve">Common UK EdTech legacy platforms: Moodle 3.x (widely deployed, but moving to 4.x and custom builds), Blackboard Learn (being replaced — licence costs driving migration), Desire2Learn/Brightspace (universities), SIMS (school MIS — Capita, widely deployed), Bromcom (modern MIS replacing SIMS — migration projects common), and in-house PHP 5/7 custom platforms (built 2008–2016 — typically the highest-risk legacy). Migration drivers: AADC compliance (under-18 data protection), accessibility (PSBAR WCAG 2.1 AA — EHRC enforcement), and Ofqual digital assessment requirements (paper-based workflows no longer viable at scale).</w:t>
      </w:r>
    </w:p>
    <w:p>
      <w:pPr>
        <w:spacing w:after="60" w:before="60"/>
      </w:pPr>
    </w:p>
    <w:p>
      <w:pPr>
        <w:spacing w:after="160" w:before="100"/>
      </w:pPr>
      <w:r>
        <w:rPr>
          <w:rFonts w:ascii="Arial" w:cs="Arial" w:eastAsia="Arial" w:hAnsi="Arial"/>
          <w:b/>
          <w:bCs/>
          <w:i w:val="false"/>
          <w:iCs w:val="false"/>
          <w:color w:val="E8612A"/>
          <w:sz w:val="22"/>
          <w:szCs w:val="22"/>
        </w:rPr>
        <w:t xml:space="preserve">SIMS to Bromcom/Arbor Migration for UK Schools: </w:t>
      </w:r>
      <w:r>
        <w:rPr>
          <w:rFonts w:ascii="Arial" w:cs="Arial" w:eastAsia="Arial" w:hAnsi="Arial"/>
          <w:b w:val="false"/>
          <w:bCs w:val="false"/>
          <w:i w:val="false"/>
          <w:iCs w:val="false"/>
          <w:color w:val="1A2332"/>
          <w:sz w:val="22"/>
          <w:szCs w:val="22"/>
        </w:rPr>
        <w:t xml:space="preserve">SIMS (School Information Management System — Capita): legacy MIS used by majority of UK state schools. Bromcom and Arbor are modern cloud-native alternatives replacing SIMS. SIMS migration technical complexity: (1) SIMS data export (CTF — Common Transfer File format for pupil data, B2B XML), (2) data mapping (SIMS data structures mapped to Bromcom/Arbor schema — UPN as primary key), (3) historical data migration (attendance records, assessment data, behaviour logs — 3–5 years history), (4) integration re-wiring (EdTech platforms connected to SIMS need reconnecting to new MIS). ClickMasters role: the custom EdTech platforms that integrated with SIMS need re-platforming to Bromcom/Arbor APIs — ClickMasters rebuilds the integration layer without replacing the EdTech application itself.</w:t>
      </w:r>
    </w:p>
    <w:p>
      <w:pPr>
        <w:spacing w:after="60" w:before="60"/>
      </w:pPr>
    </w:p>
    <w:p>
      <w:pPr>
        <w:spacing w:after="160" w:before="100"/>
      </w:pPr>
      <w:r>
        <w:rPr>
          <w:rFonts w:ascii="Arial" w:cs="Arial" w:eastAsia="Arial" w:hAnsi="Arial"/>
          <w:b/>
          <w:bCs/>
          <w:i w:val="false"/>
          <w:iCs w:val="false"/>
          <w:color w:val="E8612A"/>
          <w:sz w:val="22"/>
          <w:szCs w:val="22"/>
        </w:rPr>
        <w:t xml:space="preserve">Moodle to Custom LMS Migration: </w:t>
      </w:r>
      <w:r>
        <w:rPr>
          <w:rFonts w:ascii="Arial" w:cs="Arial" w:eastAsia="Arial" w:hAnsi="Arial"/>
          <w:b w:val="false"/>
          <w:bCs w:val="false"/>
          <w:i w:val="false"/>
          <w:iCs w:val="false"/>
          <w:color w:val="1A2332"/>
          <w:sz w:val="22"/>
          <w:szCs w:val="22"/>
        </w:rPr>
        <w:t xml:space="preserve">Moodle → Custom LMS migration: Moodle is PHP-based, complex to host securely, and increasingly difficult to maintain and extend. Migration approach: (1) content export (Moodle backup format — courses, quizzes, SCORM packages exported), (2) content import (SCORM packages work in any LTI 1.3-compatible platform), (3) user migration (username + hashed password export — force password reset on first login), (4) historical results migration (Gradebook data — Moodle export to CSV, imported to new platform). ICO AADC migration: learner data migration requires legal basis review (new platform, new purposes — consent refresh may be required for under-18 learner data). ClickMasters Moodle migration: data mapping tool converts Moodle export format to new LMS import format — automated migration for 50,000+ learners.</w:t>
      </w:r>
    </w:p>
    <w:p>
      <w:pPr>
        <w:spacing w:after="60" w:before="60"/>
      </w:pPr>
    </w:p>
    <w:p>
      <w:pPr>
        <w:spacing w:after="160" w:before="100"/>
      </w:pPr>
      <w:r>
        <w:rPr>
          <w:rFonts w:ascii="Arial" w:cs="Arial" w:eastAsia="Arial" w:hAnsi="Arial"/>
          <w:b/>
          <w:bCs/>
          <w:i w:val="false"/>
          <w:iCs w:val="false"/>
          <w:color w:val="E8612A"/>
          <w:sz w:val="22"/>
          <w:szCs w:val="22"/>
        </w:rPr>
        <w:t xml:space="preserve">PSBAR Accessibility Retrofit for EdTech Legacy: </w:t>
      </w:r>
      <w:r>
        <w:rPr>
          <w:rFonts w:ascii="Arial" w:cs="Arial" w:eastAsia="Arial" w:hAnsi="Arial"/>
          <w:b w:val="false"/>
          <w:bCs w:val="false"/>
          <w:i w:val="false"/>
          <w:iCs w:val="false"/>
          <w:color w:val="1A2332"/>
          <w:sz w:val="22"/>
          <w:szCs w:val="22"/>
        </w:rPr>
        <w:t xml:space="preserve">PSBAR (Public Sector Bodies Accessibility Regulations): all public sector EdTech platforms must be WCAG 2.1 AA compliant. Legacy EdTech accessibility failure modes: (1) inaccessible quiz interfaces (time-limited quizzes with no screen reader support), (2) video without captions (WCAG 1.2.2 — recorded content requires captions), (3) PDF-based course materials (non-tagged PDFs — screen reader unreadable), (4) colour contrast failures (aged design systems using low-contrast colours). Accessibility retrofit approach: (1) automated axe-core audit (baseline — catches 35% of WCAG issues), (2) screen reader audit (NVDA — identifies remaining 65%), (3) Accessibility Statement publication (legally required — lists known issues), (4) remediation sprint (highest severity first). PSBAR enforcement: EHRC investigation for non-compliant public sector EdTech.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standards, PSBAR WCAG 2.1 AA, Cyber Essentials, Ofqual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EdTech legacy migration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EdTech legacy migration timelines: (1) SIMS to Bromcom/Arbor API re-wiring (custom EdTech integration migration — not replacing Bromcom itself): 4–8 weeks per integration. (2) Moodle 3.x to custom LMS (content + user migration, 50,000 learners): 10–16 weeks. (3) Blackboard Learn to custom VLE (42,000 students — full migration): 24 weeks (batch 72 case study above). (4) Legacy PHP EdTech platform to modern React/Node.js (complete rebuild): 20–40 weeks. ClickMasters recommendation: always conduct Technical Discovery before EdTech legacy migration — SIMS/Bromcom data schemas and Moodle export format contain surprises that add 4–8 weeks if discovered after migration starts.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to AADC compliance during EdTech legacy migration?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AADC compliance during migration: the risk is personal data of under-18 learners being processed in legacy systems (which may not be AADC compliant) while new systems are being built. Migration approach: (1) legacy continues in production during migration (under-18 data stays in compliant production system), (2) new system is AADC compliant from first data load (no legacy AADC debt carried to new system), (3) data minimisation at migration (migrate only data with valid legal basis — delete excess legacy data before migration), (4) consent refresh (if new system has new data processing purposes — re-consent under-18 guardians), (5) parallel running period (both systems active — under-18 data in both, AADC compliant in both). ICO guidance: data migration is a data processing activity — DPIA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ICO AADC Guide UK: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Legacy Modernisation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legacy modernisation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2026-06-05T06:26:12.707Z</dcterms:created>
  <dcterms:modified xsi:type="dcterms:W3CDTF">2026-06-05T06:26:12.707Z</dcterms:modified>
</cp:coreProperties>
</file>

<file path=docProps/custom.xml><?xml version="1.0" encoding="utf-8"?>
<Properties xmlns="http://schemas.openxmlformats.org/officeDocument/2006/custom-properties" xmlns:vt="http://schemas.openxmlformats.org/officeDocument/2006/docPropsVTypes"/>
</file>