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for eCommerce UK | ClickMasters
META DESC: SaaS Development for UK eCommerce businesses. UK GDPR. £35,000–£200,000. Free consultation.
SLUG: /ecommerce-saas-development/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eCommerce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eCommerce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for eCommerce</w:t>
      </w:r>
    </w:p>
    <w:p>
      <w:pPr>
        <w:spacing w:after="60" w:before="60"/>
      </w:pPr>
    </w:p>
    <w:p>
      <w:pPr>
        <w:pStyle w:val="Heading1"/>
        <w:spacing w:after="160" w:before="360"/>
      </w:pPr>
      <w:r>
        <w:rPr>
          <w:rFonts w:ascii="Arial" w:cs="Arial" w:eastAsia="Arial" w:hAnsi="Arial"/>
          <w:b/>
          <w:bCs/>
          <w:color w:val="0B1F3A"/>
          <w:sz w:val="40"/>
          <w:szCs w:val="40"/>
        </w:rPr>
        <w:t xml:space="preserve">SaaS Development for UK eCommerce Companies — UK GDPR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eCommerce Specialists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SaaS Development for UK eCommerce businesses with UK GDPR,  PCI-DSS compliance built in from the architecture phase.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What SaaS Development for eCommerce Means in the UK</w:t>
            </w:r>
          </w:p>
        </w:tc>
      </w:tr>
    </w:tbl>
    <w:p>
      <w:pPr>
        <w:spacing w:after="60" w:before="60"/>
      </w:pPr>
    </w:p>
    <w:p>
      <w:pPr>
        <w:spacing w:after="160" w:before="100"/>
      </w:pPr>
      <w:r>
        <w:rPr>
          <w:rFonts w:ascii="Arial" w:cs="Arial" w:eastAsia="Arial" w:hAnsi="Arial"/>
          <w:b/>
          <w:bCs/>
          <w:i w:val="false"/>
          <w:iCs w:val="false"/>
          <w:color w:val="E8612A"/>
          <w:sz w:val="22"/>
          <w:szCs w:val="22"/>
        </w:rPr>
        <w:t xml:space="preserve">Multi-Tenant eCommerce Architecture: </w:t>
      </w:r>
      <w:r>
        <w:rPr>
          <w:rFonts w:ascii="Arial" w:cs="Arial" w:eastAsia="Arial" w:hAnsi="Arial"/>
          <w:b w:val="false"/>
          <w:bCs w:val="false"/>
          <w:i w:val="false"/>
          <w:iCs w:val="false"/>
          <w:color w:val="1A2332"/>
          <w:sz w:val="22"/>
          <w:szCs w:val="22"/>
        </w:rPr>
        <w:t xml:space="preserve">B2B eCommerce SaaS serving multiple merchants requires multi-tenant architecture. PostgreSQL separate schema per tenant provides isolation required by UK GDPR. Merchant data (customer records, payment tokens) must be completely isolated — a multi-tenancy bug exposing one merchant's customers to another is a UK GDPR personal data breach.</w:t>
      </w:r>
    </w:p>
    <w:p>
      <w:pPr>
        <w:spacing w:after="60" w:before="60"/>
      </w:pPr>
    </w:p>
    <w:p>
      <w:pPr>
        <w:spacing w:after="160" w:before="100"/>
      </w:pPr>
      <w:r>
        <w:rPr>
          <w:rFonts w:ascii="Arial" w:cs="Arial" w:eastAsia="Arial" w:hAnsi="Arial"/>
          <w:b/>
          <w:bCs/>
          <w:i w:val="false"/>
          <w:iCs w:val="false"/>
          <w:color w:val="E8612A"/>
          <w:sz w:val="22"/>
          <w:szCs w:val="22"/>
        </w:rPr>
        <w:t xml:space="preserve">UK Consumer Rights Act as SaaS Obligation: </w:t>
      </w:r>
      <w:r>
        <w:rPr>
          <w:rFonts w:ascii="Arial" w:cs="Arial" w:eastAsia="Arial" w:hAnsi="Arial"/>
          <w:b w:val="false"/>
          <w:bCs w:val="false"/>
          <w:i w:val="false"/>
          <w:iCs w:val="false"/>
          <w:color w:val="1A2332"/>
          <w:sz w:val="22"/>
          <w:szCs w:val="22"/>
        </w:rPr>
        <w:t xml:space="preserve">eCommerce SaaS must implement Consumer Rights Act requirements on behalf of merchant tenants: 14-day cancellation flow, right to reject faulty digital goods, transparent pricing (all charges visible before commitment). As the platform provider, your SaaS architecture must technically enable every merchant to meet their legal obligations.</w:t>
      </w:r>
    </w:p>
    <w:p>
      <w:pPr>
        <w:spacing w:after="60" w:before="60"/>
      </w:pPr>
    </w:p>
    <w:p>
      <w:pPr>
        <w:spacing w:after="160" w:before="100"/>
      </w:pPr>
      <w:r>
        <w:rPr>
          <w:rFonts w:ascii="Arial" w:cs="Arial" w:eastAsia="Arial" w:hAnsi="Arial"/>
          <w:b/>
          <w:bCs/>
          <w:i w:val="false"/>
          <w:iCs w:val="false"/>
          <w:color w:val="E8612A"/>
          <w:sz w:val="22"/>
          <w:szCs w:val="22"/>
        </w:rPr>
        <w:t xml:space="preserve">PECR for Multi-Tenant Email Marketing: </w:t>
      </w:r>
      <w:r>
        <w:rPr>
          <w:rFonts w:ascii="Arial" w:cs="Arial" w:eastAsia="Arial" w:hAnsi="Arial"/>
          <w:b w:val="false"/>
          <w:bCs w:val="false"/>
          <w:i w:val="false"/>
          <w:iCs w:val="false"/>
          <w:color w:val="1A2332"/>
          <w:sz w:val="22"/>
          <w:szCs w:val="22"/>
        </w:rPr>
        <w:t xml:space="preserve">eCommerce SaaS with email marketing features must implement PECR compliance per tenant: per-tenant marketing consent records, per-tenant unsubscribe mechanisms, consent audit trail for ICO evidence. Shared marketing infrastructure across tenants is a compliance risk — one merchant's non-compliant campaign could implicate the platform provider.</w:t>
      </w:r>
    </w:p>
    <w:p>
      <w:pPr>
        <w:spacing w:after="60" w:before="60"/>
      </w:pPr>
    </w:p>
    <w:p>
      <w:pPr>
        <w:spacing w:after="160" w:before="100"/>
      </w:pPr>
      <w:r>
        <w:rPr>
          <w:rFonts w:ascii="Arial" w:cs="Arial" w:eastAsia="Arial" w:hAnsi="Arial"/>
          <w:b/>
          <w:bCs/>
          <w:i w:val="false"/>
          <w:iCs w:val="false"/>
          <w:color w:val="E8612A"/>
          <w:sz w:val="22"/>
          <w:szCs w:val="22"/>
        </w:rPr>
        <w:t xml:space="preserve">PCI-DSS Scope for eCommerce SaaS: </w:t>
      </w:r>
      <w:r>
        <w:rPr>
          <w:rFonts w:ascii="Arial" w:cs="Arial" w:eastAsia="Arial" w:hAnsi="Arial"/>
          <w:b w:val="false"/>
          <w:bCs w:val="false"/>
          <w:i w:val="false"/>
          <w:iCs w:val="false"/>
          <w:color w:val="1A2332"/>
          <w:sz w:val="22"/>
          <w:szCs w:val="22"/>
        </w:rPr>
        <w:t xml:space="preserve">eCommerce SaaS platforms taking payments must manage PCI-DSS scope. Best architecture: use hosted payment forms (Stripe Connect for marketplace SaaS) so merchant payment data never touches your platform — achieving SAQ-A scope. Stripe Connect enables: per-merchant payment processing, platform fee deduction, and automatic PCI-DSS compliance for payment flows.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eCommerce compliance: UK GDPR, PCI-DSS, Consumer Rights Act, PECR, Equality Act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Project 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eCommerce SaaS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I build UK GDPR compliant multi-tenant eCommerce SaaS?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UK GDPR multi-tenant eCommerce: separate PostgreSQL schema per merchant tenant, Row-Level Security as additional protection, right to erasure cascading per tenant (deleting a merchant must cascade to all their customer records), separate analytics per tenant (aggregate analytics without cross-tenant personal data exposure), and Article 28 DPA in your merchant terms of service.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payment architecture works best for eCommerce SaaS?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Stripe Connect is the standard for eCommerce SaaS platforms. It enables: per-merchant payment processing under each merchant's Stripe account, platform fees automatically deducted, UK GDPR-compliant payment processing (Stripe holds card data, not your platform), and PCI-DSS scope reduction to SAQ-A for payment flows.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eCommerce Software Development UK: /ecommerce-software-development/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SaaS Development UK: /saas-development/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Software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eCommerce SaaS Development</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eCommerce Team</w:t>
            </w:r>
          </w:p>
          <w:p>
            <w:pPr>
              <w:spacing w:after="80" w:before="0"/>
            </w:pPr>
            <w:r>
              <w:rPr>
                <w:rFonts w:ascii="Arial" w:cs="Arial" w:eastAsia="Arial" w:hAnsi="Arial"/>
                <w:b/>
                <w:bCs/>
                <w:color w:val="E8612A"/>
                <w:sz w:val="20"/>
                <w:szCs w:val="20"/>
              </w:rPr>
              <w:t xml:space="preserve">eCommerce software specialists</w:t>
            </w:r>
          </w:p>
          <w:p>
            <w:pPr>
              <w:spacing w:after="0" w:before="0"/>
            </w:pPr>
            <w:r>
              <w:rPr>
                <w:rFonts w:ascii="Arial" w:cs="Arial" w:eastAsia="Arial" w:hAnsi="Arial"/>
                <w:color w:val="1A2332"/>
                <w:sz w:val="20"/>
                <w:szCs w:val="20"/>
              </w:rPr>
              <w:t xml:space="preserve">ClickMasters delivers SaaS Development for UK eCommerce businesses with full compliance.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"ecommerce saas development uk" (200/mo)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2026-05-23T06:05:57.327Z</dcterms:created>
  <dcterms:modified xsi:type="dcterms:W3CDTF">2026-05-23T06:05:57.327Z</dcterms:modified>
</cp:coreProperties>
</file>

<file path=docProps/custom.xml><?xml version="1.0" encoding="utf-8"?>
<Properties xmlns="http://schemas.openxmlformats.org/officeDocument/2006/custom-properties" xmlns:vt="http://schemas.openxmlformats.org/officeDocument/2006/docPropsVTypes"/>
</file>