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for LegalTech UK | ClickMasters
META DESC: Cloud-Native Development for UK LegalTech. SRA. £25,000–£150,000.
SLUG: /legaltech-cloud-native-development/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LegalTech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LegalTech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for LegalTech</w:t>
      </w:r>
    </w:p>
    <w:p>
      <w:pPr>
        <w:spacing w:after="60" w:before="60"/>
      </w:pPr>
    </w:p>
    <w:p>
      <w:pPr>
        <w:pStyle w:val="Heading1"/>
        <w:spacing w:after="160" w:before="360"/>
      </w:pPr>
      <w:r>
        <w:rPr>
          <w:rFonts w:ascii="Arial" w:cs="Arial" w:eastAsia="Arial" w:hAnsi="Arial"/>
          <w:b/>
          <w:bCs/>
          <w:color w:val="0B1F3A"/>
          <w:sz w:val="40"/>
          <w:szCs w:val="40"/>
        </w:rPr>
        <w:t xml:space="preserve">Cloud-Native Development for UK LegalTech — SRA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LegalTech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SRA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for UK LegalTech businesses with SRA,  Legal Professional Privilege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Cloud-Native Development for LegalTech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Legal Professional Privilege in Cloud Architecture: </w:t>
      </w:r>
      <w:r>
        <w:rPr>
          <w:rFonts w:ascii="Arial" w:cs="Arial" w:eastAsia="Arial" w:hAnsi="Arial"/>
          <w:b w:val="false"/>
          <w:bCs w:val="false"/>
          <w:i w:val="false"/>
          <w:iCs w:val="false"/>
          <w:color w:val="1A2332"/>
          <w:sz w:val="22"/>
          <w:szCs w:val="22"/>
        </w:rPr>
        <w:t xml:space="preserve">LPP requires that privileged client communications and work product are protected from disclosure. Cloud-native LegalTech architecture must: tag documents as privileged at ingestion, apply elevated access controls to privileged documents (role-based — only fee earner on matter can access), ensure privileged documents are not included in any analytics or AI training without explicit review, and maintain LPP status through data migrations and cloud backups.</w:t>
      </w:r>
    </w:p>
    <w:p>
      <w:pPr>
        <w:spacing w:after="60" w:before="60"/>
      </w:pPr>
    </w:p>
    <w:p>
      <w:pPr>
        <w:spacing w:after="160" w:before="100"/>
      </w:pPr>
      <w:r>
        <w:rPr>
          <w:rFonts w:ascii="Arial" w:cs="Arial" w:eastAsia="Arial" w:hAnsi="Arial"/>
          <w:b/>
          <w:bCs/>
          <w:i w:val="false"/>
          <w:iCs w:val="false"/>
          <w:color w:val="E8612A"/>
          <w:sz w:val="22"/>
          <w:szCs w:val="22"/>
        </w:rPr>
        <w:t xml:space="preserve">SRA Cloud Security Requirements: </w:t>
      </w:r>
      <w:r>
        <w:rPr>
          <w:rFonts w:ascii="Arial" w:cs="Arial" w:eastAsia="Arial" w:hAnsi="Arial"/>
          <w:b w:val="false"/>
          <w:bCs w:val="false"/>
          <w:i w:val="false"/>
          <w:iCs w:val="false"/>
          <w:color w:val="1A2332"/>
          <w:sz w:val="22"/>
          <w:szCs w:val="22"/>
        </w:rPr>
        <w:t xml:space="preserve">SRA Code of Conduct: law firms must keep client data secure. SRA has issued guidance on cloud services: written risk assessment of cloud providers, data processing agreement with cloud provider, UK data residency preferred for client files (AWS eu-west-2 or Azure UK South), encryption at rest and in transit, and right to audit cloud provider security. ClickMasters uses AWS eu-west-2 as standard for all LegalTech projects.</w:t>
      </w:r>
    </w:p>
    <w:p>
      <w:pPr>
        <w:spacing w:after="60" w:before="60"/>
      </w:pPr>
    </w:p>
    <w:p>
      <w:pPr>
        <w:spacing w:after="160" w:before="100"/>
      </w:pPr>
      <w:r>
        <w:rPr>
          <w:rFonts w:ascii="Arial" w:cs="Arial" w:eastAsia="Arial" w:hAnsi="Arial"/>
          <w:b/>
          <w:bCs/>
          <w:i w:val="false"/>
          <w:iCs w:val="false"/>
          <w:color w:val="E8612A"/>
          <w:sz w:val="22"/>
          <w:szCs w:val="22"/>
        </w:rPr>
        <w:t xml:space="preserve">GDPR and AML Record-Keeping in Cloud: </w:t>
      </w:r>
      <w:r>
        <w:rPr>
          <w:rFonts w:ascii="Arial" w:cs="Arial" w:eastAsia="Arial" w:hAnsi="Arial"/>
          <w:b w:val="false"/>
          <w:bCs w:val="false"/>
          <w:i w:val="false"/>
          <w:iCs w:val="false"/>
          <w:color w:val="1A2332"/>
          <w:sz w:val="22"/>
          <w:szCs w:val="22"/>
        </w:rPr>
        <w:t xml:space="preserve">Law firms have dual retention obligations: SRA requires 6–15 years retention of client file data (matter type dependent), MLRs 2017 requires 5 years AML/KYC records. Cloud-native retention policy: AWS S3 Object Lock for immutable retention (files cannot be deleted before minimum retention period), automated lifecycle policies transitioning to cheaper storage classes after active period, and automated deletion triggers at maximum retention expiry.</w:t>
      </w:r>
    </w:p>
    <w:p>
      <w:pPr>
        <w:spacing w:after="60" w:before="60"/>
      </w:pPr>
    </w:p>
    <w:p>
      <w:pPr>
        <w:spacing w:after="160" w:before="100"/>
      </w:pPr>
      <w:r>
        <w:rPr>
          <w:rFonts w:ascii="Arial" w:cs="Arial" w:eastAsia="Arial" w:hAnsi="Arial"/>
          <w:b/>
          <w:bCs/>
          <w:i w:val="false"/>
          <w:iCs w:val="false"/>
          <w:color w:val="E8612A"/>
          <w:sz w:val="22"/>
          <w:szCs w:val="22"/>
        </w:rPr>
        <w:t xml:space="preserve">LegalTech API Security — Courts and HMRC: </w:t>
      </w:r>
      <w:r>
        <w:rPr>
          <w:rFonts w:ascii="Arial" w:cs="Arial" w:eastAsia="Arial" w:hAnsi="Arial"/>
          <w:b w:val="false"/>
          <w:bCs w:val="false"/>
          <w:i w:val="false"/>
          <w:iCs w:val="false"/>
          <w:color w:val="1A2332"/>
          <w:sz w:val="22"/>
          <w:szCs w:val="22"/>
        </w:rPr>
        <w:t xml:space="preserve">LegalTech cloud-native applications integrate with UK government APIs: HMRC (for tax and conveyancing), HMLR (Land Registry), Companies House, and HMCTS (Her Majesty's Courts and Tribunals Service). All government API credentials must be stored in AWS Secrets Manager (not environment variables or code). API call audit logging: every government API call logged with requesting user, timestamp, and response status for SRA compliance trail.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SRA, Legal Professional Privilege, UK GDPR, Cyber Essentials, AML (MLRs 2017)</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LegalTech Cloud-Native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cloud security obligations do law firms have?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SRA Code of Conduct requires: written risk assessment of cloud provider, Data Processing Agreement, UK data residency (preferred), encryption in transit and at rest, and right to audit. UK GDPR Article 28: written DPA with cloud provider mandatory. AML: 5-year KYC record retention with restricted access. ClickMasters provides a cloud security evidence pack supporting law firm SRA compliance obligations.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LegalTech use AI features in cloud-native applications?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with care. Legal Professional Privilege: any AI feature (document analysis, contract review, search) must not process privileged documents without explicit consideration of privilege waiver risk. Supplier AI features: if using OpenAI or other external AI APIs, client data must not be submitted to external AI APIs without explicit client consent (potential LPP waiver). On-premises or private cloud AI is the safest option for privilege-sensitive LegalTech.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LegalTech Software Development UK: /legaltech-software-development/</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UK GDPR Compliance Checklist: /uk-gdpr-software-compliance-checklist/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LegalTech Cloud-Native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LegalTech Team</w:t>
            </w:r>
          </w:p>
          <w:p>
            <w:pPr>
              <w:spacing w:after="80" w:before="0"/>
            </w:pPr>
            <w:r>
              <w:rPr>
                <w:rFonts w:ascii="Arial" w:cs="Arial" w:eastAsia="Arial" w:hAnsi="Arial"/>
                <w:b/>
                <w:bCs/>
                <w:color w:val="E8612A"/>
                <w:sz w:val="20"/>
                <w:szCs w:val="20"/>
              </w:rPr>
              <w:t xml:space="preserve">LegalTech specialists</w:t>
            </w:r>
          </w:p>
          <w:p>
            <w:pPr>
              <w:spacing w:after="0" w:before="0"/>
            </w:pPr>
            <w:r>
              <w:rPr>
                <w:rFonts w:ascii="Arial" w:cs="Arial" w:eastAsia="Arial" w:hAnsi="Arial"/>
                <w:color w:val="1A2332"/>
                <w:sz w:val="20"/>
                <w:szCs w:val="20"/>
              </w:rPr>
              <w:t xml:space="preserve">Delivering Cloud-Native Development for UK LegalTech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"legaltech cloud native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2026-05-26T14:36:09.986Z</dcterms:created>
  <dcterms:modified xsi:type="dcterms:W3CDTF">2026-05-26T14:36:09.986Z</dcterms:modified>
</cp:coreProperties>
</file>

<file path=docProps/custom.xml><?xml version="1.0" encoding="utf-8"?>
<Properties xmlns="http://schemas.openxmlformats.org/officeDocument/2006/custom-properties" xmlns:vt="http://schemas.openxmlformats.org/officeDocument/2006/docPropsVTypes"/>
</file>