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InsurTech UK | ClickMasters
META DESC: Legacy Modernisation for UK InsurTech. FCA ICOBS. £35,000–£180,000.
SLUG: /insurtech-legacy-modernisation/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InsurTech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InsurTech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InsurTech businesses with FCA ICOBS,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UK Insurance Core System Landscape: </w:t>
      </w:r>
      <w:r>
        <w:rPr>
          <w:rFonts w:ascii="Arial" w:cs="Arial" w:eastAsia="Arial" w:hAnsi="Arial"/>
          <w:b w:val="false"/>
          <w:bCs w:val="false"/>
          <w:i w:val="false"/>
          <w:iCs w:val="false"/>
          <w:color w:val="1A2332"/>
          <w:sz w:val="22"/>
          <w:szCs w:val="22"/>
        </w:rPr>
        <w:t xml:space="preserve">Major legacy insurance platforms in UK market: Guidewire (PolicyCenter, ClaimCenter, BillingCenter — gold standard but expensive), SSP (Avante — UK market share in SME insurance), Applied Rater (personal lines broking), Open GI (broking platform), and bespoke legacy PHP/ASP systems built 2000–2015. ClickMasters modernisation approach: assess which legacy components to replace vs retain, use strangler fig for core systems, and API-first for new capability.</w:t>
      </w:r>
    </w:p>
    <w:p>
      <w:pPr>
        <w:spacing w:after="60" w:before="60"/>
      </w:pPr>
    </w:p>
    <w:p>
      <w:pPr>
        <w:spacing w:after="160" w:before="100"/>
      </w:pPr>
      <w:r>
        <w:rPr>
          <w:rFonts w:ascii="Arial" w:cs="Arial" w:eastAsia="Arial" w:hAnsi="Arial"/>
          <w:b/>
          <w:bCs/>
          <w:i w:val="false"/>
          <w:iCs w:val="false"/>
          <w:color w:val="E8612A"/>
          <w:sz w:val="22"/>
          <w:szCs w:val="22"/>
        </w:rPr>
        <w:t xml:space="preserve">Solvency II UK Data Architecture in Modernisation: </w:t>
      </w:r>
      <w:r>
        <w:rPr>
          <w:rFonts w:ascii="Arial" w:cs="Arial" w:eastAsia="Arial" w:hAnsi="Arial"/>
          <w:b w:val="false"/>
          <w:bCs w:val="false"/>
          <w:i w:val="false"/>
          <w:iCs w:val="false"/>
          <w:color w:val="1A2332"/>
          <w:sz w:val="22"/>
          <w:szCs w:val="22"/>
        </w:rPr>
        <w:t xml:space="preserve">Solvency II UK data requirements: QRT (Quantitative Reporting Template) data must be traceable to source transactions. Legacy modernisation risk: new system architecture must preserve QRT data lineage. Pattern: event sourcing for premium, claims, and investment transactions — every financial event immutably logged with source data. QRT extraction: automated from event store, not from aggregated summaries.</w:t>
      </w:r>
    </w:p>
    <w:p>
      <w:pPr>
        <w:spacing w:after="60" w:before="60"/>
      </w:pPr>
    </w:p>
    <w:p>
      <w:pPr>
        <w:spacing w:after="160" w:before="100"/>
      </w:pPr>
      <w:r>
        <w:rPr>
          <w:rFonts w:ascii="Arial" w:cs="Arial" w:eastAsia="Arial" w:hAnsi="Arial"/>
          <w:b/>
          <w:bCs/>
          <w:i w:val="false"/>
          <w:iCs w:val="false"/>
          <w:color w:val="E8612A"/>
          <w:sz w:val="22"/>
          <w:szCs w:val="22"/>
        </w:rPr>
        <w:t xml:space="preserve">FCA ICOBS Consumer Duty in Legacy Replacement: </w:t>
      </w:r>
      <w:r>
        <w:rPr>
          <w:rFonts w:ascii="Arial" w:cs="Arial" w:eastAsia="Arial" w:hAnsi="Arial"/>
          <w:b w:val="false"/>
          <w:bCs w:val="false"/>
          <w:i w:val="false"/>
          <w:iCs w:val="false"/>
          <w:color w:val="1A2332"/>
          <w:sz w:val="22"/>
          <w:szCs w:val="22"/>
        </w:rPr>
        <w:t xml:space="preserve">Legacy replacement is the natural point to build FCA Consumer Duty compliance correctly. Consumer Understanding: product terms presented in plain English (Flesch &gt; 65) — legacy PDFs notoriously non-compliant. Consumer Support: accessible complaints journey — legacy systems often have no digital complaints pathway. Price and Value: premium and excess clearly disclosed at purchase — legacy systems often bury key terms.</w:t>
      </w:r>
    </w:p>
    <w:p>
      <w:pPr>
        <w:spacing w:after="60" w:before="60"/>
      </w:pPr>
    </w:p>
    <w:p>
      <w:pPr>
        <w:spacing w:after="160" w:before="100"/>
      </w:pPr>
      <w:r>
        <w:rPr>
          <w:rFonts w:ascii="Arial" w:cs="Arial" w:eastAsia="Arial" w:hAnsi="Arial"/>
          <w:b/>
          <w:bCs/>
          <w:i w:val="false"/>
          <w:iCs w:val="false"/>
          <w:color w:val="E8612A"/>
          <w:sz w:val="22"/>
          <w:szCs w:val="22"/>
        </w:rPr>
        <w:t xml:space="preserve">Policy Data Migration with UK GDPR Compliance: </w:t>
      </w:r>
      <w:r>
        <w:rPr>
          <w:rFonts w:ascii="Arial" w:cs="Arial" w:eastAsia="Arial" w:hAnsi="Arial"/>
          <w:b w:val="false"/>
          <w:bCs w:val="false"/>
          <w:i w:val="false"/>
          <w:iCs w:val="false"/>
          <w:color w:val="1A2332"/>
          <w:sz w:val="22"/>
          <w:szCs w:val="22"/>
        </w:rPr>
        <w:t xml:space="preserve">Migrating live insurance policies requires UK GDPR-compliant data migration planning: DPIA for migration (temporary dual-processing in migration environment), data minimisation (do not migrate expired policy data beyond 7-year statutory minimum), customer consent records migration (direct marketing consent must be preserved with source and timestamp), and policyholder notification if processing purpose changes materially.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ICOBS, Consumer Duty, Solvency II UK, UK GDPR, PCI-DSS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migrate live policies during insurance system modernisation?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Live policy migration strategy: run legacy and new systems in parallel during transition (shadow mode), migrate policies in tranches (by product line, by region, or by renewal date), validate every migrated policy against legacy data, and switch traffic per tranche only after validation passes. Never big-bang migrate all live policies simultaneously — the risk to FCA-regulated policyholder service levels is too high.</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insurance legacy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Scope-dependent: replacing a single product line (personal motor, home) typically takes 6–12 months. Replacing an entire insurer core system (all lines, broker portal, claims, billing) is a 2–4 year programme. ClickMasters approach: start with a discovery and scoping phase (£5,000–£12,000) to map current system complexity and provide an accurate fixed-price estimate for the full modernisation.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specialists</w:t>
            </w:r>
          </w:p>
          <w:p>
            <w:pPr>
              <w:spacing w:after="0" w:before="0"/>
            </w:pPr>
            <w:r>
              <w:rPr>
                <w:rFonts w:ascii="Arial" w:cs="Arial" w:eastAsia="Arial" w:hAnsi="Arial"/>
                <w:color w:val="1A2332"/>
                <w:sz w:val="20"/>
                <w:szCs w:val="20"/>
              </w:rPr>
              <w:t xml:space="preserve">Delivering Legacy Modernisation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2026-05-26T20:41:54.022Z</dcterms:created>
  <dcterms:modified xsi:type="dcterms:W3CDTF">2026-05-26T20:41:54.022Z</dcterms:modified>
</cp:coreProperties>
</file>

<file path=docProps/custom.xml><?xml version="1.0" encoding="utf-8"?>
<Properties xmlns="http://schemas.openxmlformats.org/officeDocument/2006/custom-properties" xmlns:vt="http://schemas.openxmlformats.org/officeDocument/2006/docPropsVTypes"/>
</file>