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Custom Software Development Zurich | UK Agency | ClickMasters
META DESC: Custom software for Zurich. UK-based agency.
SLUG: /custom-software-development-zurich/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Global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Custom Software Zurich</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Zurich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Zurich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GBP12,000--GBP200,000+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Switzerland / DACH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serves Zurich businesses. Data protection addressed upfront. GBP12,000--GBP200,000+.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Zurich Technology Ecosystem</w:t>
            </w:r>
          </w:p>
        </w:tc>
      </w:tr>
    </w:tbl>
    <w:p>
      <w:pPr>
        <w:spacing w:after="60" w:before="60"/>
      </w:pPr>
    </w:p>
    <w:p>
      <w:pPr>
        <w:spacing w:after="160" w:before="100"/>
      </w:pPr>
      <w:r>
        <w:rPr>
          <w:rFonts w:ascii="Arial" w:cs="Arial" w:eastAsia="Arial" w:hAnsi="Arial"/>
          <w:b w:val="false"/>
          <w:bCs w:val="false"/>
          <w:color w:val="1A2332"/>
          <w:sz w:val="22"/>
          <w:szCs w:val="22"/>
        </w:rPr>
        <w:t xml:space="preserve">Zurich is Switzerland's largest city and financial capital -- one of the world's most important financial technology hubs. While not EU, Switzerland has a bilateral data protection agreement with EU and UK GDPR adequacy. Zurich has particular strength in private banking technology, asset management software, and enterprise software. Premium rates compared to the rest of Europe but justified by talent quality. ETH Zurich produces world-class engineers.</w:t>
      </w:r>
    </w:p>
    <w:p>
      <w:pPr>
        <w:spacing w:after="60" w:before="60"/>
      </w:pPr>
    </w:p>
    <w:p>
      <w:pPr>
        <w:spacing w:after="160" w:before="100"/>
      </w:pPr>
      <w:r>
        <w:rPr>
          <w:rFonts w:ascii="Arial" w:cs="Arial" w:eastAsia="Arial" w:hAnsi="Arial"/>
          <w:b/>
          <w:bCs/>
          <w:color w:val="0B1F3A"/>
          <w:sz w:val="22"/>
          <w:szCs w:val="22"/>
        </w:rPr>
        <w:t xml:space="preserve">Key organisations: </w:t>
      </w:r>
      <w:r>
        <w:rPr>
          <w:rFonts w:ascii="Arial" w:cs="Arial" w:eastAsia="Arial" w:hAnsi="Arial"/>
          <w:b w:val="false"/>
          <w:bCs w:val="false"/>
          <w:color w:val="1A2332"/>
          <w:sz w:val="22"/>
          <w:szCs w:val="22"/>
        </w:rPr>
        <w:t xml:space="preserve">UBS Technology Zurich (world largest private bank -- massive technology team), Credit Suisse Technology Zurich (significant even post-acquisition), Google Switzerland HQ Zurich (large engineering R&amp;D), Disney Technology Zurich (visual effects R&amp;D), ABB Technology Zurich (industrial automation), Zurich Insurance Technology (global insurer -- large technology investment), Temenos HQ Geneva/Zurich (core banking software -- SIX-listed), Avaloq HQ Zurich (private banking software -- NEC acquired)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UK GDPR: Switzerland has UK adequacy decision (ICO Schedule 21 -- UK-Switzerland transfers permitted without SCCs). FDPIC (Federal Data Protection and Information Commissioner) enforces Swiss data protection. CHF or GBP. CET (UTC+1/+2) -- 1 hour ahead of UK. Very high English proficiency in tech. Rates comparable to London or 5-15% below. ETH Zurich (consistently top 5 global engineering university) pipeline makes Zurich the highest academic quality technology hub in this programme. UBS and Credit Suisse make Zurich distinctive for private banking technology.</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international delivery expertise.</w:t>
      </w:r>
    </w:p>
    <w:p>
      <w:pPr>
        <w:pStyle w:val="ListParagraph"/>
        <w:numPr>
          <w:ilvl w:val="0"/>
          <w:numId w:val="2"/>
        </w:numPr>
        <w:spacing w:after="60" w:before="60"/>
      </w:pPr>
      <w:r>
        <w:rPr>
          <w:rFonts w:ascii="Arial" w:cs="Arial" w:eastAsia="Arial" w:hAnsi="Arial"/>
          <w:color w:val="1A2332"/>
          <w:sz w:val="22"/>
          <w:szCs w:val="22"/>
        </w:rPr>
        <w:t xml:space="preserve">UK GDPR transfer requirements addressed.</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serve Zurich?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Data protection?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Transfer mechanism confirmed before personal data processing.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Zurich</w:t>
            </w:r>
          </w:p>
          <w:p>
            <w:pPr>
              <w:spacing w:after="160" w:before="0"/>
            </w:pPr>
            <w:r>
              <w:rPr>
                <w:rFonts w:ascii="Arial" w:cs="Arial" w:eastAsia="Arial" w:hAnsi="Arial"/>
                <w:color w:val="BDD0E8"/>
                <w:sz w:val="22"/>
                <w:szCs w:val="22"/>
              </w:rPr>
              <w:t xml:space="preserve">Data protection from day one.</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clients globally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2026-06-09T06:49:10.673Z</dcterms:created>
  <dcterms:modified xsi:type="dcterms:W3CDTF">2026-06-09T06:49:10.674Z</dcterms:modified>
</cp:coreProperties>
</file>

<file path=docProps/custom.xml><?xml version="1.0" encoding="utf-8"?>
<Properties xmlns="http://schemas.openxmlformats.org/officeDocument/2006/custom-properties" xmlns:vt="http://schemas.openxmlformats.org/officeDocument/2006/docPropsVTypes"/>
</file>