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UK Open Banking Developer Guide (2026) | ClickMasters
META DESC: Open Banking for UK developers. TrueLayer, FCA AISP, PISP, 90-day consent, PSD2 UK, GoCardless VRP, Open Banking APIs.
SLUG: /uk-open-banking-developer-guide/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13 min  |  Written by: James Whitmore, CTO  |  Reviewed by: ClickMasters FinTech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UK Open Banking Developer Guide</w:t>
      </w:r>
    </w:p>
    <w:p>
      <w:pPr>
        <w:spacing w:after="60" w:before="60"/>
      </w:pPr>
    </w:p>
    <w:p>
      <w:pPr>
        <w:pStyle w:val="Heading1"/>
        <w:spacing w:after="160" w:before="360"/>
      </w:pPr>
      <w:r>
        <w:rPr>
          <w:rFonts w:ascii="Arial" w:cs="Arial" w:eastAsia="Arial" w:hAnsi="Arial"/>
          <w:b/>
          <w:bCs/>
          <w:color w:val="0B1F3A"/>
          <w:sz w:val="40"/>
          <w:szCs w:val="40"/>
        </w:rPr>
        <w:t xml:space="preserve">UK Open Banking Developer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AISP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PISP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TrueLayer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90-day Consent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VRP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UK Open Banking is the world's most mature open banking ecosystem (8M+ active users). The key integration decision: TrueLayer AISP (read bank data) or TrueLayer/GoCardless PISP (initiate payments). AISP registration is straightforward (4-8 weeks). PISP authorisation is a full FCA authorisation (12-18 months). For most UK FinTech apps, TrueLayer AISP is the right starting point.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Open Banking -- AISP vs PISP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1200"/>
        <w:gridCol w:w="2226"/>
      </w:tblGrid>
      <w:tr>
        <w:trPr>
          <w:tblHeader/>
        </w:trPr>
        <w:tc>
          <w:tcPr>
            <w:tcW w:type="dxa" w:w="1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Permission</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You Can Do</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FCA Process</w:t>
            </w:r>
          </w:p>
        </w:tc>
        <w:tc>
          <w:tcPr>
            <w:tcW w:type="dxa" w:w="1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Experience</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AISP (Account Information)</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Read balances, transactions, direct debits, standing orders -- with customer consent</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Registration (not full authorisation)</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 weeks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 AISP integrations</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PISP (Payment Initiation)</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Initiate payments from customer bank account -- with customer consent</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FCA Authorisation</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12-18 months</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 PISP integrations</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VRP (Variable Recurring Payments)</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Recurring variable payments -- customer pre-authorises with defined sweep limits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PISP authorisation required</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12-18 months + VRP</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 VRP integrations</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CBPII (Card-Based)</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Check card funds availability</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Registration</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 weeks</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integrations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TrueLayer AISP Integration -- Step by Step</w:t>
            </w:r>
          </w:p>
        </w:tc>
      </w:tr>
    </w:tbl>
    <w:p>
      <w:pPr>
        <w:spacing w:after="60" w:before="60"/>
      </w:pPr>
    </w:p>
    <w:p>
      <w:pPr>
        <w:spacing w:after="160" w:before="100"/>
      </w:pPr>
      <w:r>
        <w:rPr>
          <w:rFonts w:ascii="Arial" w:cs="Arial" w:eastAsia="Arial" w:hAnsi="Arial"/>
          <w:b w:val="false"/>
          <w:bCs w:val="false"/>
          <w:color w:val="1A2332"/>
          <w:sz w:val="22"/>
          <w:szCs w:val="22"/>
        </w:rPr>
        <w:t xml:space="preserve">TrueLayer is the UK's leading Open Banking API provider (powers Monzo, Revolut, and 800+ UK FinTechs). ClickMasters uses TrueLayer for all UK AISP integrations.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Step 1: Register on TrueLayer Console (https://console.truelayer.com). Create application, receive client_id and client_secret. TrueLayer provides sandbox (mock bank data) for development.</w:t>
      </w:r>
    </w:p>
    <w:p>
      <w:pPr>
        <w:pStyle w:val="ListParagraph"/>
        <w:numPr>
          <w:ilvl w:val="0"/>
          <w:numId w:val="2"/>
        </w:numPr>
        <w:spacing w:after="60" w:before="60"/>
      </w:pPr>
      <w:r>
        <w:rPr>
          <w:rFonts w:ascii="Arial" w:cs="Arial" w:eastAsia="Arial" w:hAnsi="Arial"/>
          <w:color w:val="1A2332"/>
          <w:sz w:val="22"/>
          <w:szCs w:val="22"/>
        </w:rPr>
        <w:t xml:space="preserve">Step 2: OAuth 2.0 PKCE flow. User selects bank -&gt; TrueLayer handles bank OAuth -&gt; ClickMasters backend receives authorisation code -&gt; exchange for access_token (1-hour expiry) and refresh_token (90-day expiry).</w:t>
      </w:r>
    </w:p>
    <w:p>
      <w:pPr>
        <w:pStyle w:val="ListParagraph"/>
        <w:numPr>
          <w:ilvl w:val="0"/>
          <w:numId w:val="2"/>
        </w:numPr>
        <w:spacing w:after="60" w:before="60"/>
      </w:pPr>
      <w:r>
        <w:rPr>
          <w:rFonts w:ascii="Arial" w:cs="Arial" w:eastAsia="Arial" w:hAnsi="Arial"/>
          <w:color w:val="1A2332"/>
          <w:sz w:val="22"/>
          <w:szCs w:val="22"/>
        </w:rPr>
        <w:t xml:space="preserve">Step 3: Fetch bank data. GET /data/v1/accounts (account list), GET /data/v1/accounts/{id}/balance, GET /data/v1/accounts/{id}/transactions?from=2026-01-01 (date-filtered transactions).</w:t>
      </w:r>
    </w:p>
    <w:p>
      <w:pPr>
        <w:pStyle w:val="ListParagraph"/>
        <w:numPr>
          <w:ilvl w:val="0"/>
          <w:numId w:val="2"/>
        </w:numPr>
        <w:spacing w:after="60" w:before="60"/>
      </w:pPr>
      <w:r>
        <w:rPr>
          <w:rFonts w:ascii="Arial" w:cs="Arial" w:eastAsia="Arial" w:hAnsi="Arial"/>
          <w:color w:val="1A2332"/>
          <w:sz w:val="22"/>
          <w:szCs w:val="22"/>
        </w:rPr>
        <w:t xml:space="preserve">Step 4: 90-day consent management. refresh_token valid for 90 days. At 83 days (7 days before expiry), GOV.UK Notify push notification to customer: renew Open Banking connection. Consumer Duty: renewal reminder at 7 days (not day 89).</w:t>
      </w:r>
    </w:p>
    <w:p>
      <w:pPr>
        <w:pStyle w:val="ListParagraph"/>
        <w:numPr>
          <w:ilvl w:val="0"/>
          <w:numId w:val="2"/>
        </w:numPr>
        <w:spacing w:after="60" w:before="60"/>
      </w:pPr>
      <w:r>
        <w:rPr>
          <w:rFonts w:ascii="Arial" w:cs="Arial" w:eastAsia="Arial" w:hAnsi="Arial"/>
          <w:color w:val="1A2332"/>
          <w:sz w:val="22"/>
          <w:szCs w:val="22"/>
        </w:rPr>
        <w:t xml:space="preserve">Step 5: Disconnect and deletion. Customer can disconnect bank (DELETE TrueLayer connection). UK GDPR Article 17: delete all transaction data within 30 days of disconnection.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UK GDPR for Open Banking data: (1) lawful basis (legitimate interest or explicit consent for the specific purpose), (2) data minimisation (request only transaction history needed -- not 5-year history if 3 months sufficient), (3) retention (transaction data deleted when no longer needed for stated purpose), (4) purpose limitation (transaction data used only for stated purpose -- not shared without fresh consent), (5) ICO DPIA mandatory (financial behaviour profiling = high risk processing).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GoCardless VRP and when should I use 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GoCardless VRP (Variable Recurring Payments): Open Banking PISP product allowing variable recurring payments with a pre-authorised sweep. Unlike Direct Debit (fixed mandate, 3-day notice for change), VRP allows variable amount and timing within pre-agreed limits. UK VRP use cases: (1) BNPL repayments (customer repays variable amount each month based on balance), (2) savings sweeps (automatic sweep of surplus to savings account), (3) investment contributions (variable monthly investment contribution), (4) subscription with variable element (gym -- base membership + pay-per-class). VRP vs Direct Debit: VRP is faster (same day payment) and more flexible (variable amount). VRP requires PISP authorisation and customer VRP consent (in addition to Open Banking consent). GoCardless VRP: ClickMasters default VRP provider for UK FinTech -- GBP0.50 per VRP vs GBP0.20 Direct Debit -- premium justified by same-day settlement and variable amount flexibility.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90-day Open Banking consent work in practice?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Open Banking 90-day consent: PSD2 (UK retained) requires customers to re-authenticate with their bank every 90 days. Implementation: (1) TrueLayer access_token expires after 1 hour -- refresh using refresh_token (valid 90 days), (2) at 90 days, refresh_token expires -- customer must re-authenticate with bank (full OAuth 2.0 PKCE flow again), (3) Consumer Duty re-consent UX (ClickMasters pattern -- send reminder at day 83, day 87, day 89 via push notification -- not all on day 90), (4) if customer does not renew -- graceful degradation (app still works, bank data feature unavailable until renewed), (5) re-consent rate: ClickMasters clients average 80-85% re-consent rate at day 83 reminder. Renewal rate drops to 65-70% if first reminder is sent on day 89 -- this is the Consumer Duty case for early reminders.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UK FinTech Compliance Guide: /uk-fintech-compliance-guide/</w:t>
      </w:r>
    </w:p>
    <w:p>
      <w:pPr>
        <w:pStyle w:val="ListParagraph"/>
        <w:numPr>
          <w:ilvl w:val="0"/>
          <w:numId w:val="3"/>
        </w:numPr>
        <w:spacing w:after="60" w:before="60"/>
      </w:pPr>
      <w:r>
        <w:rPr>
          <w:rFonts w:ascii="Arial" w:cs="Arial" w:eastAsia="Arial" w:hAnsi="Arial"/>
          <w:color w:val="1A4A8A"/>
          <w:sz w:val="22"/>
          <w:szCs w:val="22"/>
        </w:rPr>
        <w:t xml:space="preserve">tRPC vs REST vs GraphQL UK: /trpc-vs-rest-vs-graphql-uk-api-2026/</w:t>
      </w:r>
    </w:p>
    <w:p>
      <w:pPr>
        <w:pStyle w:val="ListParagraph"/>
        <w:numPr>
          <w:ilvl w:val="0"/>
          <w:numId w:val="3"/>
        </w:numPr>
        <w:spacing w:after="60" w:before="60"/>
      </w:pPr>
      <w:r>
        <w:rPr>
          <w:rFonts w:ascii="Arial" w:cs="Arial" w:eastAsia="Arial" w:hAnsi="Arial"/>
          <w:color w:val="1A4A8A"/>
          <w:sz w:val="22"/>
          <w:szCs w:val="22"/>
        </w:rPr>
        <w:t xml:space="preserve">FinTech Software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Open Banking Integration Review</w:t>
            </w:r>
          </w:p>
          <w:p>
            <w:pPr>
              <w:spacing w:after="160" w:before="0"/>
            </w:pPr>
            <w:r>
              <w:rPr>
                <w:rFonts w:ascii="Arial" w:cs="Arial" w:eastAsia="Arial" w:hAnsi="Arial"/>
                <w:color w:val="BDD0E8"/>
                <w:sz w:val="22"/>
                <w:szCs w:val="22"/>
              </w:rPr>
              <w:t xml:space="preserve">ClickMasters will design your TrueLayer AISP integration, 90-day consent flow, and UK GDPR data architecture.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Open Banking specialist -- 18 AISP integrations, 8 PISP, 6 VRP</w:t>
            </w:r>
          </w:p>
          <w:p>
            <w:pPr>
              <w:spacing w:after="0" w:before="0"/>
            </w:pPr>
            <w:r>
              <w:rPr>
                <w:rFonts w:ascii="Arial" w:cs="Arial" w:eastAsia="Arial" w:hAnsi="Arial"/>
                <w:color w:val="1A2332"/>
                <w:sz w:val="20"/>
                <w:szCs w:val="20"/>
              </w:rPr>
              <w:t xml:space="preserve">UK Open Banking is the world most mature open banking ecosystem. Build on TrueLayer. Manage 90-day consent like Consumer Duty depends on it -- because it does.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uk open banking developer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2026-06-08T11:07:31.584Z</dcterms:created>
  <dcterms:modified xsi:type="dcterms:W3CDTF">2026-06-08T11:07:31.584Z</dcterms:modified>
</cp:coreProperties>
</file>

<file path=docProps/custom.xml><?xml version="1.0" encoding="utf-8"?>
<Properties xmlns="http://schemas.openxmlformats.org/officeDocument/2006/custom-properties" xmlns:vt="http://schemas.openxmlformats.org/officeDocument/2006/docPropsVTypes"/>
</file>