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UK Software Architecture Guide 2 -- Microservices and Data (2026) | ClickMasters
META DESC: Microservices, data architecture, and event-driven design for UK regulated software. NHS, FCA, GDS patterns.
SLUG: /uk-software-architecture-guide-microservices/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13 min  |  Written by: James Whitmore, CTO  |  Reviewed by: ClickMasters Architecture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UK Software Architecture Guide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Microservices and Data</w:t>
      </w:r>
    </w:p>
    <w:p>
      <w:pPr>
        <w:spacing w:after="60" w:before="60"/>
      </w:pPr>
    </w:p>
    <w:p>
      <w:pPr>
        <w:pStyle w:val="Heading1"/>
        <w:spacing w:after="160" w:before="360"/>
      </w:pPr>
      <w:r>
        <w:rPr>
          <w:rFonts w:ascii="Arial" w:cs="Arial" w:eastAsia="Arial" w:hAnsi="Arial"/>
          <w:b/>
          <w:bCs/>
          <w:color w:val="0B1F3A"/>
          <w:sz w:val="40"/>
          <w:szCs w:val="40"/>
        </w:rPr>
        <w:t xml:space="preserve">UK Microservices and Data Architecture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Microservices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Event-Driven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CQRS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Data Mesh</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NHS FCA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default for UK regulated software is modular monolith (not microservices) for teams under 20 engineers -- simpler DTAC evidence, simpler PS21/3 IBS mapping, faster development. When microservices are right: distinct scaling requirements, team-per-service ownership, regulatory boundary separation. When to use event-driven: background processing, async notifications, audit logs. When NOT to use event-driven: synchronous NHS patient-facing requests (latency), FCA payment transactions (ACID required).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Microservices Decision Framework for UK Regulated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rPr>
          <w:tblHeader/>
        </w:trPr>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Modular Monolith</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Microservices</w:t>
            </w:r>
          </w:p>
        </w:tc>
        <w:tc>
          <w:tcPr>
            <w:tcW w:type="dxa" w:w="3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Guidance</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&lt; 20 engineers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 engineers (team per service)</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Conway Law: team structure drives architecture</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evidence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DTAC submission for entire product</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DTAC submission per service</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 simpler for DTAC -- fewer pen tests</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IBS mapping</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service = IBS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IBS spans multiple services</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 makes IBS boundary clear</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Development velocity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no network latency, shared types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Slower -- network calls, distributed tracing</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 faster for early stage</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Independent scaling</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Service scales as one unit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scale payment service 10x, reporting 1x</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 microservices only when scaling differs materially</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isolation (NHS multi-tenant)</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PostgreSQL RLS -- all data in one DB</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Separate DB per service -- more operational overhead</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RLS monolith is simpler for NHS multi-tenant</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Deployment complexity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CDK stack, one pipeline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pipeline per service (12+ for complex systems)</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multiply DevOps overhead</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UK regulated products (&lt; 20 engineers)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spine integration services, payment processing isolation</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Start monolith, extract services when pain is real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Event-Driven Architecture for UK Regulated Systems</w:t>
            </w:r>
          </w:p>
        </w:tc>
      </w:tr>
    </w:tbl>
    <w:p>
      <w:pPr>
        <w:spacing w:after="60" w:before="60"/>
      </w:pPr>
    </w:p>
    <w:p>
      <w:pPr>
        <w:spacing w:after="160" w:before="100"/>
      </w:pPr>
      <w:r>
        <w:rPr>
          <w:rFonts w:ascii="Arial" w:cs="Arial" w:eastAsia="Arial" w:hAnsi="Arial"/>
          <w:b w:val="false"/>
          <w:bCs w:val="false"/>
          <w:color w:val="1A2332"/>
          <w:sz w:val="22"/>
          <w:szCs w:val="22"/>
        </w:rPr>
        <w:t xml:space="preserve">Event-driven architecture (EDA) patterns in UK regulated software -- when to apply and when to avoid:</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USE for NHS background processing: MHSDS monthly submission, ARCP evidence generation, overnight ILR report -- BullMQ cron jobs, progress tracking, retry on failure. No latency constraint.</w:t>
      </w:r>
    </w:p>
    <w:p>
      <w:pPr>
        <w:pStyle w:val="ListParagraph"/>
        <w:numPr>
          <w:ilvl w:val="0"/>
          <w:numId w:val="2"/>
        </w:numPr>
        <w:spacing w:after="60" w:before="60"/>
      </w:pPr>
      <w:r>
        <w:rPr>
          <w:rFonts w:ascii="Arial" w:cs="Arial" w:eastAsia="Arial" w:hAnsi="Arial"/>
          <w:color w:val="1A2332"/>
          <w:sz w:val="22"/>
          <w:szCs w:val="22"/>
        </w:rPr>
        <w:t xml:space="preserve">USE for FCA non-IBS event processing: GoCardless webhook received, Stripe payment captured, KYC Onfido callback -- SQS FIFO, Lambda consumer, exactly-once processing.</w:t>
      </w:r>
    </w:p>
    <w:p>
      <w:pPr>
        <w:pStyle w:val="ListParagraph"/>
        <w:numPr>
          <w:ilvl w:val="0"/>
          <w:numId w:val="2"/>
        </w:numPr>
        <w:spacing w:after="60" w:before="60"/>
      </w:pPr>
      <w:r>
        <w:rPr>
          <w:rFonts w:ascii="Arial" w:cs="Arial" w:eastAsia="Arial" w:hAnsi="Arial"/>
          <w:color w:val="1A2332"/>
          <w:sz w:val="22"/>
          <w:szCs w:val="22"/>
        </w:rPr>
        <w:t xml:space="preserve">USE for audit logging: every patient record change, every FCA regulated transaction -- SQS to S3 (append-only audit log) -- UK GDPR Article 30 processing record.</w:t>
      </w:r>
    </w:p>
    <w:p>
      <w:pPr>
        <w:pStyle w:val="ListParagraph"/>
        <w:numPr>
          <w:ilvl w:val="0"/>
          <w:numId w:val="3"/>
        </w:numPr>
        <w:spacing w:after="60" w:before="60"/>
      </w:pPr>
      <w:r>
        <w:rPr>
          <w:rFonts w:ascii="Arial" w:cs="Arial" w:eastAsia="Arial" w:hAnsi="Arial"/>
          <w:color w:val="1A2332"/>
          <w:sz w:val="22"/>
          <w:szCs w:val="22"/>
        </w:rPr>
        <w:t xml:space="preserve">DO NOT USE for NHS synchronous patient-facing requests: patient search, prescription lookup -- synchronous REST, ECS Fargate. Adding async latency to clinical workflows is a patient safety risk.</w:t>
      </w:r>
    </w:p>
    <w:p>
      <w:pPr>
        <w:pStyle w:val="ListParagraph"/>
        <w:numPr>
          <w:ilvl w:val="0"/>
          <w:numId w:val="3"/>
        </w:numPr>
        <w:spacing w:after="60" w:before="60"/>
      </w:pPr>
      <w:r>
        <w:rPr>
          <w:rFonts w:ascii="Arial" w:cs="Arial" w:eastAsia="Arial" w:hAnsi="Arial"/>
          <w:color w:val="1A2332"/>
          <w:sz w:val="22"/>
          <w:szCs w:val="22"/>
        </w:rPr>
        <w:t xml:space="preserve">DO NOT USE for FCA IBS payment transactions: payment initiation, authorisation -- synchronous REST, ACID PostgreSQL transaction. Async payment processing creates FCA PS21/3 IBS availability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ClickMasters EDA rule: async for background, sync for clinical and payment. The temptation to make everything event-driven is strong. The FCA PS21/3 and NHS DTAC compliance complexity of async IBS processing is not worth it.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CQRS and does UK regulated software need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CQRS (Command Query Responsibility Segregation): separate read and write models. For UK regulated software: (1) NHS patient record (writes: every clinical action -- PostgreSQL ACID, reads: patient dashboard -- Redis cache + read replica), (2) FCA payment ledger (writes: every payment transaction -- ACID PostgreSQL, reads: account balance dashboard -- read replica), (3) GDS benefit claims (writes: claim submission -- ACID, reads: case worker dashboard -- eventually consistent read model). CQRS is not needed for most UK regulated products. It adds significant complexity (two data models, eventual consistency handling, read model synchronisation). ClickMasters uses CQRS only when: (a) read patterns are significantly different from write patterns (high-read GDS dashboards with high-write NHS telemetry), (b) write model requires ACID guarantees but read model can tolerate eventual consistency, (c) read scaling needs differ from write scaling. ClickMasters CQRS projects: 8 of 120+ projects use CQRS -- mostly NHS population health platforms with high-read analytics.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data mesh and should a UK HealthTech company adopt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Data mesh for UK HealthTech: data mesh (Zhamak Dehghani -- decentralised data ownership, domain-oriented data products) is a large-organisation pattern. For UK HealthTech: (1) applicable for NHS organisations with 20+ data domains (NHS Digital, NHS England -- at scale they are adopting data mesh principles), (2) not applicable for UK HealthTech startups or scaleups (&lt; GBP50M ARR -- premature architectural complexity), (3) data mesh for NHS: NHS FHIR R4 UK Core is the semantic layer for NHS data products -- FHIR is NHS data mesh in practice. ClickMasters: for UK HealthTech startups, a well-structured PostgreSQL schema with domain-separated schemas (patients, appointments, prescriptions, billing as separate schemas) achieves 80% of data mesh benefits with 5% of the complexity. When to consider data mesh: NHS organisation with multiple product teams each owning NHS data domains and needing to share data between teams without creating data silos.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4"/>
        </w:numPr>
        <w:spacing w:after="60" w:before="60"/>
      </w:pPr>
      <w:r>
        <w:rPr>
          <w:rFonts w:ascii="Arial" w:cs="Arial" w:eastAsia="Arial" w:hAnsi="Arial"/>
          <w:color w:val="1A4A8A"/>
          <w:sz w:val="22"/>
          <w:szCs w:val="22"/>
        </w:rPr>
        <w:t xml:space="preserve">UK Software Architecture Guide: /uk-software-architecture-guide/</w:t>
      </w:r>
    </w:p>
    <w:p>
      <w:pPr>
        <w:pStyle w:val="ListParagraph"/>
        <w:numPr>
          <w:ilvl w:val="0"/>
          <w:numId w:val="4"/>
        </w:numPr>
        <w:spacing w:after="60" w:before="60"/>
      </w:pPr>
      <w:r>
        <w:rPr>
          <w:rFonts w:ascii="Arial" w:cs="Arial" w:eastAsia="Arial" w:hAnsi="Arial"/>
          <w:color w:val="1A4A8A"/>
          <w:sz w:val="22"/>
          <w:szCs w:val="22"/>
        </w:rPr>
        <w:t xml:space="preserve">UK DevOps Guide: /uk-devops-guide/</w:t>
      </w:r>
    </w:p>
    <w:p>
      <w:pPr>
        <w:pStyle w:val="ListParagraph"/>
        <w:numPr>
          <w:ilvl w:val="0"/>
          <w:numId w:val="4"/>
        </w:numPr>
        <w:spacing w:after="60" w:before="60"/>
      </w:pPr>
      <w:r>
        <w:rPr>
          <w:rFonts w:ascii="Arial" w:cs="Arial" w:eastAsia="Arial" w:hAnsi="Arial"/>
          <w:color w:val="1A4A8A"/>
          <w:sz w:val="22"/>
          <w:szCs w:val="22"/>
        </w:rPr>
        <w:t xml:space="preserve">UK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Architecture Review</w:t>
            </w:r>
          </w:p>
          <w:p>
            <w:pPr>
              <w:spacing w:after="160" w:before="0"/>
            </w:pPr>
            <w:r>
              <w:rPr>
                <w:rFonts w:ascii="Arial" w:cs="Arial" w:eastAsia="Arial" w:hAnsi="Arial"/>
                <w:color w:val="BDD0E8"/>
                <w:sz w:val="22"/>
                <w:szCs w:val="22"/>
              </w:rPr>
              <w:t xml:space="preserve">ClickMasters will review your microservices and data architecture decisions against UK regulated sector best practice.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software architecture specialist -- 120+ UK regulated products</w:t>
            </w:r>
          </w:p>
          <w:p>
            <w:pPr>
              <w:spacing w:after="0" w:before="0"/>
            </w:pPr>
            <w:r>
              <w:rPr>
                <w:rFonts w:ascii="Arial" w:cs="Arial" w:eastAsia="Arial" w:hAnsi="Arial"/>
                <w:color w:val="1A2332"/>
                <w:sz w:val="20"/>
                <w:szCs w:val="20"/>
              </w:rPr>
              <w:t xml:space="preserve">Start with a modular monolith. Extract microservices when the pain is real. The teams that start with microservices spend their first 6 months on infrastructure. The teams that start with a modular monolith spend their first 6 months on product.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uk microservices data architecture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2026-06-09T06:49:11.063Z</dcterms:created>
  <dcterms:modified xsi:type="dcterms:W3CDTF">2026-06-09T06:49:11.063Z</dcterms:modified>
</cp:coreProperties>
</file>

<file path=docProps/custom.xml><?xml version="1.0" encoding="utf-8"?>
<Properties xmlns="http://schemas.openxmlformats.org/officeDocument/2006/custom-properties" xmlns:vt="http://schemas.openxmlformats.org/officeDocument/2006/docPropsVTypes"/>
</file>