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Software Development Contract Red Flags — Complete Guide | ClickMasters
META DESC: 15 UK software contract red flags to spot before signing. IP ownership, payment terms, scope disputes, liability, UK GDPR. Free guide.
SLUG: /uk-software-development-contract-guide/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Legal Team  |  Reviewed by: Reviewed by UK Technology Law Specialist</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Software Contract Guide</w:t>
      </w:r>
    </w:p>
    <w:p>
      <w:pPr>
        <w:spacing w:after="60" w:before="60"/>
      </w:pPr>
    </w:p>
    <w:p>
      <w:pPr>
        <w:pStyle w:val="Heading1"/>
        <w:spacing w:after="160" w:before="360"/>
      </w:pPr>
      <w:r>
        <w:rPr>
          <w:rFonts w:ascii="Arial" w:cs="Arial" w:eastAsia="Arial" w:hAnsi="Arial"/>
          <w:b/>
          <w:bCs/>
          <w:color w:val="0B1F3A"/>
          <w:sz w:val="40"/>
          <w:szCs w:val="40"/>
        </w:rPr>
        <w:t xml:space="preserve">UK Software Development Contracts — 15 Red Flags Before You Sign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Contract Law</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IP Protection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Payment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Scope Clarity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5 most common UK software contract disasters: (1) No IP assignment clause — contractor owns your code by default under UK law. (2) No acceptance criteria — supplier decides when it is "done." (3) Time &amp; Materials with no cap — cost is unbounded. (4) No UK GDPR data processing agreement — you are liable for the agency's data breaches. (5) Unlimited liability exclusion — supplier has no financial incentive to fix serious failures.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is not a law firm and this is not legal advice. This guide reflects common patterns in UK software development contracts that create disputes, project failures, and unexpected costs. Always have a solicitor review significant contracts before signing.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 No IP Assignment Clause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Under the UK Copyright, Designs and Patents Act 1988 (CDPA), the author of software owns the copyright — not the commissioner. If your software development contract does not explicitly assign intellectual property rights to you, the agency or freelancer may own your code. ClickMasters includes a comprehensive IP Assignment Agreement transferring 100% of IP to you upon final payment in every contract.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2: No Acceptance Criteria — Supplier Defines "Done"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contract that specifies a system will "manage user accounts" without detailed acceptance criteria gives the supplier complete discretion over what "done" means. ClickMasters requires a Technical Discovery phase (£3,500–£8,000) before any fixed-price contract — producing a detailed specification with acceptance criteria per user story. This protects both parties.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3: Time &amp; Materials with No Cap and No Milestones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Time &amp; Materials (T&amp;M) with no cap transfers all cost risk to the client. If the project takes twice as long as estimated, you pay twice as much. Always negotiate: a milestone-based payment schedule with deliverables, a not-to-exceed budget (or formal approval required above a threshold), and weekly timesheets reviewed by the client.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4: No Article 28 UK GDPR Data Processing Agreement (DPA)</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GDPR Article 28 requires a Data Processing Agreement between you (data controller) and any agency processing personal data on your behalf (data processor). Without a DPA, you are fully liable for the agency's handling of your customers' personal data — including their breaches, their inadequate security, and their failures to respond to data subject rights requests. ClickMasters includes a UK GDPR Article 28 DPA in every contract.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5: Unlimited Limitation of Liability Exclusion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Some agency contracts limit their liability to the fees paid in the last month — or to £1,000 regardless of project value. This means if they deliver broken software that costs you £500,000 in lost business, you cannot recover it. Negotiate: liability cap at least equal to total contract value, with carve-outs for IP breaches, UK GDPR violations, and fraud.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6: No Source Code Escrow or Delivery Obligation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If the agency hosts your software (SaaS model) without an obligation to deliver source code, you have no leverage if the relationship ends badly. They can hold your software hostage. Ensure the contract includes: obligation to deliver all source code, documentation, and credentials upon request, and a software escrow arrangement for mission-critical systems.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7: Vague Scope — "Reasonable Changes Included"</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"Reasonable changes included at no additional cost" is a disaster clause. The agency will define "reasonable" very narrowly; you will define it very broadly. Every project needs formal Change Request (CR) process: written scope description, impact assessment, agreed cost, both parties sign before work begins.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8: No Defect Liability Period</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Without a defect liability period (typically 30–90 days post-launch), bugs discovered after launch become change requests (billable). ClickMasters provides a 30-day defect liability period: bugs that existed at launch are fixed at no charge; new requirements are Change Requests.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9: Offshore Subcontracting Without Disclosure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Some UK-facing agencies use offshore teams without disclosure. Issues: UK GDPR international data transfers (offshore processing of UK personal data requires IDTA or UK-EU adequacy agreement), quality control gaps, timezone communication delays. Always require: disclosure of all subcontractors, UK GDPR compliant data processing for all offshore subcontractors, named senior engineers with verifiable profiles.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10: IR35 Status Determination Risk on Client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If you engage contractors through an agency on an inside IR35 basis, you are responsible for the Status Determination Statement (SDS). If HMRC disagrees with your determination, you owe unpaid income tax, employee NI, employer NI, interest, and penalties. ClickMasters staff augmentation eliminates this entirely: our engineers are our employees, zero IR35 liability for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11: No Performance or Availability SLA</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contract without response time, uptime, or availability commitments gives the supplier no accountability for slow or unreliable software. For any system with real users: define SLAs (99.9% uptime, P95 response &lt; 200ms), consequences for SLA breach (service credits), and measurement methodology.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12: Automatic Annual Renewal with No Exit Provision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SaaS and maintenance contracts that auto-renew without a reasonable notice period create lock-in. Negotiate: maximum 30-day notice for monthly contracts, 90-day notice for annual contracts, data export in portable format upon termination, and no penalty for early termination.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13: No R&amp;D Tax Credits Documentation Commitment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Most qualifying UK software development projects are eligible for HMRC R&amp;D Tax Credits (up to 27% of qualifying expenditure returned). If the contract does not commit the supplier to documenting qualifying activities in the format HMRC requires, you may lose this relief. ClickMasters documents qualifying R&amp;D activities as standard.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14: Confidentiality With No Carve-Outs for Compliance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Some confidentiality clauses are so broad they could prevent you from: reporting a data breach to the ICO (UK GDPR requires 72-hour notification), complying with a court order, responding to a regulatory investigation, or making required disclosures to Companies House. Ensure your NDA/confidentiality clause has clear carve-outs for legal compliance obligations.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 15: Technology Choice Lock-In Without Documentation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If the agency builds your software in a proprietary framework or with undocumented architecture, the cost of changing suppliers becomes prohibitive. Ensure: architecture documentation delivered as a contract deliverable, use of widely-supported open-source technologies (not proprietary frameworks), and working CI/CD pipeline and deployment documentation provided.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ClickMasters Contract Standards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Every ClickMasters project contract includes:
✓ IP Assignment Agreement (100% ownership transferred on final payment)
✓ UK GDPR Article 28 Data Processing Agreement
✓ 30-day defect liability period post-launch
✓ Detailed acceptance criteria per user story (from Technical Discovery)
✓ Formal Change Request process for scope changes
✓ Source code and credentials delivery on request
✓ IR35 zero liability (our engineers are our employees)
✓ R&amp;D Tax Credits qualifying activities documentation
✓ 30-day notice termination clause
✓ Named senior engineers — no undisclosed offshore subcontracting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Fixed Price vs Time &amp; Materials UK: /fixed-price-vs-time-materials-uk/</w:t>
      </w:r>
    </w:p>
    <w:p>
      <w:pPr>
        <w:pStyle w:val="ListParagraph"/>
        <w:numPr>
          <w:ilvl w:val="0"/>
          <w:numId w:val="2"/>
        </w:numPr>
        <w:spacing w:after="60" w:before="60"/>
      </w:pPr>
      <w:r>
        <w:rPr>
          <w:rFonts w:ascii="Arial" w:cs="Arial" w:eastAsia="Arial" w:hAnsi="Arial"/>
          <w:color w:val="1A4A8A"/>
          <w:sz w:val="22"/>
          <w:szCs w:val="22"/>
        </w:rPr>
        <w:t xml:space="preserve">IR35 Guide UK: /ir35-software-development/</w:t>
      </w:r>
    </w:p>
    <w:p>
      <w:pPr>
        <w:pStyle w:val="ListParagraph"/>
        <w:numPr>
          <w:ilvl w:val="0"/>
          <w:numId w:val="2"/>
        </w:numPr>
        <w:spacing w:after="60" w:before="60"/>
      </w:pPr>
      <w:r>
        <w:rPr>
          <w:rFonts w:ascii="Arial" w:cs="Arial" w:eastAsia="Arial" w:hAnsi="Arial"/>
          <w:color w:val="1A4A8A"/>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Contract Review Consultation</w:t>
            </w:r>
          </w:p>
          <w:p>
            <w:pPr>
              <w:spacing w:after="160" w:before="0"/>
            </w:pPr>
            <w:r>
              <w:rPr>
                <w:rFonts w:ascii="Arial" w:cs="Arial" w:eastAsia="Arial" w:hAnsi="Arial"/>
                <w:color w:val="BDD0E8"/>
                <w:sz w:val="22"/>
                <w:szCs w:val="22"/>
              </w:rPr>
              <w:t xml:space="preserve">Book a free 45-minute call. We will review your existing software contract and highlight risks.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 Team</w:t>
            </w:r>
          </w:p>
          <w:p>
            <w:pPr>
              <w:spacing w:after="80" w:before="0"/>
            </w:pPr>
            <w:r>
              <w:rPr>
                <w:rFonts w:ascii="Arial" w:cs="Arial" w:eastAsia="Arial" w:hAnsi="Arial"/>
                <w:b/>
                <w:bCs/>
                <w:color w:val="E8612A"/>
                <w:sz w:val="20"/>
                <w:szCs w:val="20"/>
              </w:rPr>
              <w:t xml:space="preserve">UK software contract specialists</w:t>
            </w:r>
          </w:p>
          <w:p>
            <w:pPr>
              <w:spacing w:after="0" w:before="0"/>
            </w:pPr>
            <w:r>
              <w:rPr>
                <w:rFonts w:ascii="Arial" w:cs="Arial" w:eastAsia="Arial" w:hAnsi="Arial"/>
                <w:color w:val="1A2332"/>
                <w:sz w:val="20"/>
                <w:szCs w:val="20"/>
              </w:rPr>
              <w:t xml:space="preserve">This guide is for information purposes only and is not legal advice. Consult a solicitor for significant contracts.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software development contract"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2026-05-24T06:57:44.291Z</dcterms:created>
  <dcterms:modified xsi:type="dcterms:W3CDTF">2026-05-24T06:57:44.291Z</dcterms:modified>
</cp:coreProperties>
</file>

<file path=docProps/custom.xml><?xml version="1.0" encoding="utf-8"?>
<Properties xmlns="http://schemas.openxmlformats.org/officeDocument/2006/custom-properties" xmlns:vt="http://schemas.openxmlformats.org/officeDocument/2006/docPropsVTypes"/>
</file>