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Database Migration? UK Definition | ClickMasters
META DESC: Database Migration explained for UK software developers. Database migration is the process of moving data from one database system to another, or upgrading to a newer version of...
SLUG: /glossary/database-migration-definition/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Database Migration?</w:t>
      </w:r>
    </w:p>
    <w:p>
      <w:pPr>
        <w:spacing w:after="60" w:before="60"/>
      </w:pPr>
    </w:p>
    <w:p>
      <w:pPr>
        <w:pStyle w:val="Heading1"/>
        <w:spacing w:after="160" w:before="360"/>
      </w:pPr>
      <w:r>
        <w:rPr>
          <w:rFonts w:ascii="Arial" w:cs="Arial" w:eastAsia="Arial" w:hAnsi="Arial"/>
          <w:b/>
          <w:bCs/>
          <w:color w:val="0B1F3A"/>
          <w:sz w:val="40"/>
          <w:szCs w:val="40"/>
        </w:rPr>
        <w:t xml:space="preserve">What is Database Migration?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Database migration is the process of moving data from one database system to another, or upgrading to a newer version of the same database. This can involve: changing database vendor (e.g., Oracle to PostgreSQL), upgrading major versions (e.g., PostgreSQL 13 to 16), restructuring schema (changing table structure without switching vendor), or migrating to a cloud-managed database service.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Database Migration — UK Context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Database migration has specific UK GDPR implications. Migration is one of the highest-risk moments for data protection compliance: personal data in transit must be encrypted, intermediate staging environments should not retain personal data longer than necessary, the migration must preserve all data subject rights (your new database must implement erasure, access, and portability), and a Data Protection Impact Assessment (DPIA) may be required if the migration changes the nature or location of processing. Zero-downtime migrations require careful planning — ClickMasters uses expand/contract patterns and blue-green deployments.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Zero-Downtime Migration: </w:t>
      </w:r>
      <w:r>
        <w:rPr>
          <w:rFonts w:ascii="Arial" w:cs="Arial" w:eastAsia="Arial" w:hAnsi="Arial"/>
          <w:b w:val="false"/>
          <w:bCs w:val="false"/>
          <w:i w:val="false"/>
          <w:iCs w:val="false"/>
          <w:color w:val="1A2332"/>
          <w:sz w:val="22"/>
          <w:szCs w:val="22"/>
        </w:rPr>
        <w:t xml:space="preserve">Migration approach that keeps the old and new systems running in parallel during transition.</w:t>
      </w:r>
    </w:p>
    <w:p>
      <w:pPr>
        <w:spacing w:after="160" w:before="100"/>
      </w:pPr>
      <w:r>
        <w:rPr>
          <w:rFonts w:ascii="Arial" w:cs="Arial" w:eastAsia="Arial" w:hAnsi="Arial"/>
          <w:b/>
          <w:bCs/>
          <w:i w:val="false"/>
          <w:iCs w:val="false"/>
          <w:color w:val="0B1F3A"/>
          <w:sz w:val="22"/>
          <w:szCs w:val="22"/>
        </w:rPr>
        <w:t xml:space="preserve">Schema Migration: </w:t>
      </w:r>
      <w:r>
        <w:rPr>
          <w:rFonts w:ascii="Arial" w:cs="Arial" w:eastAsia="Arial" w:hAnsi="Arial"/>
          <w:b w:val="false"/>
          <w:bCs w:val="false"/>
          <w:i w:val="false"/>
          <w:iCs w:val="false"/>
          <w:color w:val="1A2332"/>
          <w:sz w:val="22"/>
          <w:szCs w:val="22"/>
        </w:rPr>
        <w:t xml:space="preserve">Changing database table structure — typically managed with tools like Flyway or Liquibase.</w:t>
      </w:r>
    </w:p>
    <w:p>
      <w:pPr>
        <w:spacing w:after="160" w:before="100"/>
      </w:pPr>
      <w:r>
        <w:rPr>
          <w:rFonts w:ascii="Arial" w:cs="Arial" w:eastAsia="Arial" w:hAnsi="Arial"/>
          <w:b/>
          <w:bCs/>
          <w:i w:val="false"/>
          <w:iCs w:val="false"/>
          <w:color w:val="0B1F3A"/>
          <w:sz w:val="22"/>
          <w:szCs w:val="22"/>
        </w:rPr>
        <w:t xml:space="preserve">UK GDPR DPIA: </w:t>
      </w:r>
      <w:r>
        <w:rPr>
          <w:rFonts w:ascii="Arial" w:cs="Arial" w:eastAsia="Arial" w:hAnsi="Arial"/>
          <w:b w:val="false"/>
          <w:bCs w:val="false"/>
          <w:i w:val="false"/>
          <w:iCs w:val="false"/>
          <w:color w:val="1A2332"/>
          <w:sz w:val="22"/>
          <w:szCs w:val="22"/>
        </w:rPr>
        <w:t xml:space="preserve">Data Protection Impact Assessment — may be required when migration changes processing.</w:t>
      </w:r>
    </w:p>
    <w:p>
      <w:pPr>
        <w:spacing w:after="160" w:before="100"/>
      </w:pPr>
      <w:r>
        <w:rPr>
          <w:rFonts w:ascii="Arial" w:cs="Arial" w:eastAsia="Arial" w:hAnsi="Arial"/>
          <w:b/>
          <w:bCs/>
          <w:i w:val="false"/>
          <w:iCs w:val="false"/>
          <w:color w:val="0B1F3A"/>
          <w:sz w:val="22"/>
          <w:szCs w:val="22"/>
        </w:rPr>
        <w:t xml:space="preserve">ETL: </w:t>
      </w:r>
      <w:r>
        <w:rPr>
          <w:rFonts w:ascii="Arial" w:cs="Arial" w:eastAsia="Arial" w:hAnsi="Arial"/>
          <w:b w:val="false"/>
          <w:bCs w:val="false"/>
          <w:i w:val="false"/>
          <w:iCs w:val="false"/>
          <w:color w:val="1A2332"/>
          <w:sz w:val="22"/>
          <w:szCs w:val="22"/>
        </w:rPr>
        <w:t xml:space="preserve">Extract, Transform, Load — data movement and transformation process used in migrations.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Legacy Modernisation UK: /legacy-modernisation/</w:t>
      </w:r>
    </w:p>
    <w:p>
      <w:pPr>
        <w:pStyle w:val="ListParagraph"/>
        <w:numPr>
          <w:ilvl w:val="0"/>
          <w:numId w:val="2"/>
        </w:numPr>
        <w:spacing w:after="60" w:before="60"/>
      </w:pPr>
      <w:r>
        <w:rPr>
          <w:rFonts w:ascii="Arial" w:cs="Arial" w:eastAsia="Arial" w:hAnsi="Arial"/>
          <w:b w:val="false"/>
          <w:bCs w:val="false"/>
          <w:color w:val="1A2332"/>
          <w:sz w:val="22"/>
          <w:szCs w:val="22"/>
        </w:rPr>
        <w:t xml:space="preserve">Cloud-Native Development UK: /cloud-native-development/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Software Guide: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Database Migration</w:t>
            </w:r>
          </w:p>
          <w:p>
            <w:pPr>
              <w:spacing w:after="160" w:before="0"/>
            </w:pPr>
            <w:r>
              <w:rPr>
                <w:rFonts w:ascii="Arial" w:cs="Arial" w:eastAsia="Arial" w:hAnsi="Arial"/>
                <w:color w:val="BDD0E8"/>
                <w:sz w:val="22"/>
                <w:szCs w:val="22"/>
              </w:rPr>
              <w:t xml:space="preserve">ClickMasters applies Database Migration in every project.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database migration"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2026-05-22T10:20:12.808Z</dcterms:created>
  <dcterms:modified xsi:type="dcterms:W3CDTF">2026-05-22T10:20:12.808Z</dcterms:modified>
</cp:coreProperties>
</file>

<file path=docProps/custom.xml><?xml version="1.0" encoding="utf-8"?>
<Properties xmlns="http://schemas.openxmlformats.org/officeDocument/2006/custom-properties" xmlns:vt="http://schemas.openxmlformats.org/officeDocument/2006/docPropsVTypes"/>
</file>