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Dublin | UK Agency Serving Europe | ClickMasters
META DESC: ClickMasters provides SaaS Development for Dublin-based businesses. UK-based team, EU GDPR dual compliance, GBP/EUR pricing. Free consultation.
SLUG: /saas-development-dublin/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Dublin</w:t>
      </w:r>
    </w:p>
    <w:p>
      <w:pPr>
        <w:spacing w:after="60" w:before="60"/>
      </w:pPr>
    </w:p>
    <w:p>
      <w:pPr>
        <w:pStyle w:val="Heading1"/>
        <w:spacing w:after="160" w:before="360"/>
      </w:pPr>
      <w:r>
        <w:rPr>
          <w:rFonts w:ascii="Arial" w:cs="Arial" w:eastAsia="Arial" w:hAnsi="Arial"/>
          <w:b/>
          <w:bCs/>
          <w:color w:val="0B1F3A"/>
          <w:sz w:val="40"/>
          <w:szCs w:val="40"/>
        </w:rPr>
        <w:t xml:space="preserve">SaaS Development Dublin — UK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Dublin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Republic of Ireland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is a UK-based software development company serving Dublin and Republic of Ireland businesses. We deliver SaaS Development with dual UK GDPR and EU GDPR compliance architecture — ensuring your software meets both the ICO and the DPC requirements. EUR (€) — though many Dublin tech firms operate in USD/GBP also invoicing available. Common Travel Area / no UK-EU work restrictions for our UK-based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Dublin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Dublin is the European headquarters for many global technology companies — Google, Meta, Microsoft, Apple, LinkedIn, Salesforce — making it the most significant EU tech market for UK software companies post-Brexit. Ireland's Common Travel Area (CTA) with the UK means UK contractors and engineers can work in Dublin without visa requirements. Dublin is a natural first EU market expansion for UK software businesses.</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Google EMEA, Meta EMEA, Microsoft Ireland, Stripe EMEA, Intercom, HubSpot EMEA, Zendesk, TransferWise Ireland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Dublin regulatory context: EU GDPR (not UK GDPR) applies — Ireland is an EEA adequate country for UK data transfers. Irish DPC (Data Protection Commission) is the supervisory authority for many large tech firms due to EU HQ presence. GDPR Article 3 — EU GDPR applies to UK software companies if targeting Irish users.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GDPR / EU GDPR dual compliance note: EU GDPR applies — UK businesses processing data about Irish/EU residents need a dual UK GDPR + EU GDPR compliance architecture. Consider an EU data representative if significant EU user base.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Dublin Businesses Use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UK-based senior engineers — no visa or work permit issues for UK↔Dublin on-site visits.</w:t>
      </w:r>
    </w:p>
    <w:p>
      <w:pPr>
        <w:pStyle w:val="ListParagraph"/>
        <w:numPr>
          <w:ilvl w:val="0"/>
          <w:numId w:val="2"/>
        </w:numPr>
        <w:spacing w:after="60" w:before="60"/>
      </w:pPr>
      <w:r>
        <w:rPr>
          <w:rFonts w:ascii="Arial" w:cs="Arial" w:eastAsia="Arial" w:hAnsi="Arial"/>
          <w:b w:val="false"/>
          <w:bCs w:val="false"/>
          <w:color w:val="1A2332"/>
          <w:sz w:val="22"/>
          <w:szCs w:val="22"/>
        </w:rPr>
        <w:t xml:space="preserve">Dual UK GDPR + EU GDPR compliance architecture as standard — critical for businesses with UK and EU customers.</w:t>
      </w:r>
    </w:p>
    <w:p>
      <w:pPr>
        <w:pStyle w:val="ListParagraph"/>
        <w:numPr>
          <w:ilvl w:val="0"/>
          <w:numId w:val="2"/>
        </w:numPr>
        <w:spacing w:after="60" w:before="60"/>
      </w:pPr>
      <w:r>
        <w:rPr>
          <w:rFonts w:ascii="Arial" w:cs="Arial" w:eastAsia="Arial" w:hAnsi="Arial"/>
          <w:b w:val="false"/>
          <w:bCs w:val="false"/>
          <w:color w:val="1A2332"/>
          <w:sz w:val="22"/>
          <w:szCs w:val="22"/>
        </w:rPr>
        <w:t xml:space="preserve">EUR (€) — though many Dublin tech firms operate in USD/GBP also invoicing available. GBP or EUR. No currency risk hidden in rates.</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 our engineers are ClickMasters employees. No complex contractor law in either jurisdiction.</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UK businesses commissioning development can still claim HMRC R&amp;D Tax Credits even for EU market products — qualifying work is in the UK.</w:t>
      </w: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published — £35,000–£200,000 starting price for SaaS 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EU GDPR vs UK GDPR — What Dublin Businesses Need to Know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GDPR</w:t>
            </w:r>
          </w:p>
        </w:tc>
        <w:tc>
          <w:tcPr>
            <w:tcW w:type="dxa" w:w="34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EU GDPR (applies to Dublin)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Regulator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(Information Commissioner's Office)</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DPC (Data Protection Commission)</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Max fine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£17.5M or 4% global turnover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€20M or 4% global turnover</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International transfers to UK</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adequacy decision (renewable, check status)</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is currently adequate — verify status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Cookie consent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guidance — similar to EU GDPR</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ePrivacy Directive — stricter in some member states</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localisation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data residency (AWS eu-west-2 or Azure UK South)</w:t>
            </w:r>
          </w:p>
        </w:tc>
        <w:tc>
          <w:tcPr>
            <w:tcW w:type="dxa" w:w="34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data residency (AWS eu-west-1 Ireland or eu-central-1 Frankfurt)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DPIA requirements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w:t>
            </w:r>
          </w:p>
        </w:tc>
        <w:tc>
          <w:tcPr>
            <w:tcW w:type="dxa" w:w="34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processing requires DPIA (same standard)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 for Dublin Businesses — Transparent GBP/EUR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8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(GBP)</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 (EUR)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call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SaaS Development with EU GDPR compliance</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€4,000–€9,200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€1,700/mo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Dublin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Dublin-based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across Dublin and Republic of Ireland. We work remotely with Dublin clients and can fly in for discovery workshops, sprint reviews, and launch milestones. Our UK-based team has no visa or work permit restrictions for working in Dublin under the Common Travel Area (CTA) — no restrictions for UK nationals in Ireland.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comply with EU GDPR for Dublin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builds dual UK GDPR and EU GDPR compliance into projects for European clients. This includes: EU data residency option (AWS eu-west-1 Ireland, AWS eu-central-1 Frankfurt, or Azure Netherlands), EU GDPR Article 28 DPA, CNIL/DPC/AP-compliant privacy architecture, and cookie consent meeting the relevant EU member state's ePrivacy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invoice in EUR for Dublin clients?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can invoice in EUR for Republic of Ireland-based clients. Our standard rates are in GBP; EUR pricing is calculated at the prevailing exchange rate and fixed for the duration of the engagement to remove currency risk. VAT treatment depends on your jurisdiction — EU B2B clients typically apply reverse charge VAT.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UK vs EU Software Development: /uk-vs-offshore-software-development/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EU GDPR vs UK GDPR: /uk-gdpr-vs-eu-gdpr/</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for Dublin Businesses</w:t>
            </w:r>
          </w:p>
          <w:p>
            <w:pPr>
              <w:spacing w:after="160" w:before="0"/>
            </w:pPr>
            <w:r>
              <w:rPr>
                <w:rFonts w:ascii="Arial" w:cs="Arial" w:eastAsia="Arial" w:hAnsi="Arial"/>
                <w:color w:val="BDD0E8"/>
                <w:sz w:val="22"/>
                <w:szCs w:val="22"/>
              </w:rPr>
              <w:t xml:space="preserve">Book a free call with a senior ClickMasters engineer. EU GDPR compliance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Delivery Team</w:t>
            </w:r>
          </w:p>
          <w:p>
            <w:pPr>
              <w:spacing w:after="80" w:before="0"/>
            </w:pPr>
            <w:r>
              <w:rPr>
                <w:rFonts w:ascii="Arial" w:cs="Arial" w:eastAsia="Arial" w:hAnsi="Arial"/>
                <w:b/>
                <w:bCs/>
                <w:color w:val="E8612A"/>
                <w:sz w:val="20"/>
                <w:szCs w:val="20"/>
              </w:rPr>
              <w:t xml:space="preserve">UK-based, EU GDPR dual compliance specialists</w:t>
            </w:r>
          </w:p>
          <w:p>
            <w:pPr>
              <w:spacing w:after="0" w:before="0"/>
            </w:pPr>
            <w:r>
              <w:rPr>
                <w:rFonts w:ascii="Arial" w:cs="Arial" w:eastAsia="Arial" w:hAnsi="Arial"/>
                <w:color w:val="1A2332"/>
                <w:sz w:val="20"/>
                <w:szCs w:val="20"/>
              </w:rPr>
              <w:t xml:space="preserve">ClickMasters serves Dublin and European businesses from our UK base. EU GDPR compliance is built into all projects targeting EU markets.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dublin" (50–200/mo)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2026-05-22T10:20:11.889Z</dcterms:created>
  <dcterms:modified xsi:type="dcterms:W3CDTF">2026-05-22T10:20:11.889Z</dcterms:modified>
</cp:coreProperties>
</file>

<file path=docProps/custom.xml><?xml version="1.0" encoding="utf-8"?>
<Properties xmlns="http://schemas.openxmlformats.org/officeDocument/2006/custom-properties" xmlns:vt="http://schemas.openxmlformats.org/officeDocument/2006/docPropsVTypes"/>
</file>