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Legacy System Modernisation Birmingham | ClickMasters UK
META DESC: Legacy System Modernisation in Birmingham. Modernise legacy software without downtime or data risk. £25,000–£150,000. UK GDPR. IR35-safe. Free consultation.
SLUG: /legacy-modernisation-birmingham/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Legacy System Modernisation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Legacy System Modernisation Birmingham</w:t>
      </w:r>
    </w:p>
    <w:p>
      <w:pPr>
        <w:spacing w:after="60" w:before="60"/>
      </w:pPr>
    </w:p>
    <w:p>
      <w:pPr>
        <w:pStyle w:val="Heading1"/>
        <w:spacing w:after="160" w:before="360"/>
      </w:pPr>
      <w:r>
        <w:rPr>
          <w:rFonts w:ascii="Arial" w:cs="Arial" w:eastAsia="Arial" w:hAnsi="Arial"/>
          <w:b/>
          <w:bCs/>
          <w:color w:val="0B1F3A"/>
          <w:sz w:val="40"/>
          <w:szCs w:val="40"/>
        </w:rPr>
        <w:t xml:space="preserve">Legacy System Modernisation Birmingham — Modernise legacy software without downtime or data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Birmingham | 🇬🇧 UK-Based | 💷 £25,000–£150,000 | 🔒 UK GDPR | ⚖️ Zero IR35 | ⏱️ 12–40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Legacy System Modernisation services to businesses in Birmingham and across West Midlands. Modernise legacy software without downtime or data risk. Strangler fig pattern. GDPR-compliant data migration. Zero-downtime approach. Transparent GBP pricing from £25,000.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Birmingham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Birmingham and the West Midlands is the UK's second largest tech hub — strong manufacturing technology, FinTech growth, and the WMCA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KPMG, PwC, Capita, IMServ, WMCA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Birmingham compliance context: University Hospitals Birmingham NHS FT. West Midlands Police digital. WMCA GovTech.</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Legacy System Modernisation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Birmingham and West Midlands. We deliver remotely and can visit Birmingham for workshops. All Birmingham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Legacy System Modernisation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Legacy System Modernisation in Birmingham: £25,000–£150,000.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Birmingham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/legacy-modernisation/ | /cost-legacy-modernisation-uk/ | /hire-react-developer-birmingham/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Legacy System Modernisation Consultation in Birmingham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"legacy system modernisation birmingham"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2026-05-21T06:35:01.016Z</dcterms:created>
  <dcterms:modified xsi:type="dcterms:W3CDTF">2026-05-21T06:35:01.016Z</dcterms:modified>
</cp:coreProperties>
</file>

<file path=docProps/custom.xml><?xml version="1.0" encoding="utf-8"?>
<Properties xmlns="http://schemas.openxmlformats.org/officeDocument/2006/custom-properties" xmlns:vt="http://schemas.openxmlformats.org/officeDocument/2006/docPropsVTypes"/>
</file>