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23e" w:val="clear"/>
        <w:spacing w:after="0" w:before="0" w:line="240" w:lineRule="auto"/>
        <w:rPr>
          <w:rFonts w:ascii="Oswald" w:cs="Oswald" w:eastAsia="Oswald" w:hAnsi="Oswald"/>
          <w:color w:val="ffffff"/>
          <w:sz w:val="84"/>
          <w:szCs w:val="84"/>
        </w:rPr>
      </w:pPr>
      <w:bookmarkStart w:colFirst="0" w:colLast="0" w:name="_m36zl7jlx5xe" w:id="0"/>
      <w:bookmarkEnd w:id="0"/>
      <w:r w:rsidDel="00000000" w:rsidR="00000000" w:rsidRPr="00000000">
        <w:rPr>
          <w:rFonts w:ascii="Oswald" w:cs="Oswald" w:eastAsia="Oswald" w:hAnsi="Oswald"/>
          <w:color w:val="ffffff"/>
          <w:sz w:val="84"/>
          <w:szCs w:val="84"/>
          <w:rtl w:val="0"/>
        </w:rPr>
        <w:t xml:space="preserve">Samantha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b223e"/>
          <w:sz w:val="21"/>
          <w:szCs w:val="21"/>
        </w:rPr>
      </w:pPr>
      <w:bookmarkStart w:colFirst="0" w:colLast="0" w:name="_qagb2e65ekf2" w:id="1"/>
      <w:bookmarkEnd w:id="1"/>
      <w:r w:rsidDel="00000000" w:rsidR="00000000" w:rsidRPr="00000000">
        <w:rPr>
          <w:color w:val="0b223e"/>
          <w:sz w:val="21"/>
          <w:szCs w:val="21"/>
          <w:rtl w:val="0"/>
        </w:rPr>
        <w:t xml:space="preserve">‘Amazing’ Loan Partner</w:t>
      </w:r>
    </w:p>
    <w:p w:rsidR="00000000" w:rsidDel="00000000" w:rsidP="00000000" w:rsidRDefault="00000000" w:rsidRPr="00000000" w14:paraId="00000003">
      <w:pPr>
        <w:shd w:fill="0b223e" w:val="clear"/>
        <w:jc w:val="center"/>
        <w:rPr>
          <w:color w:val="0b223e"/>
          <w:sz w:val="21"/>
          <w:szCs w:val="21"/>
        </w:rPr>
      </w:pPr>
      <w:r w:rsidDel="00000000" w:rsidR="00000000" w:rsidRPr="00000000">
        <w:rPr>
          <w:color w:val="0b223e"/>
          <w:sz w:val="21"/>
          <w:szCs w:val="21"/>
        </w:rPr>
        <w:drawing>
          <wp:inline distB="114300" distT="114300" distL="114300" distR="114300">
            <wp:extent cx="68580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color w:val="0b223e"/>
          <w:sz w:val="21"/>
          <w:szCs w:val="21"/>
        </w:rPr>
      </w:pPr>
      <w:r w:rsidDel="00000000" w:rsidR="00000000" w:rsidRPr="00000000">
        <w:rPr>
          <w:color w:val="0b223e"/>
          <w:sz w:val="21"/>
          <w:szCs w:val="21"/>
          <w:rtl w:val="0"/>
        </w:rPr>
        <w:t xml:space="preserve">Samantha helps keep the mortgage process running smoothly behind the scenes and ensures you always know what’s coming next. As our Loan Officer Assistant, she supports every step of your home loan journey with clear communication and attention to detail. Samantha gathers and organizes key documents, keeps clients updated, and ensures everything is accurate and ready for underwriting. She also coordinates with loan processors, underwriters, and real estate professionals, so you don’t have to worry about tracking down information. Whether you’re applying for a new home loan or refinancing, Samantha is here to guide you with warmth, reliability, and easy to understand answers.</w:t>
      </w:r>
    </w:p>
    <w:p w:rsidR="00000000" w:rsidDel="00000000" w:rsidP="00000000" w:rsidRDefault="00000000" w:rsidRPr="00000000" w14:paraId="00000005">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