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16A1B" w14:textId="77777777" w:rsidR="005E001D" w:rsidRPr="00F704FA" w:rsidRDefault="00944585" w:rsidP="00F704FA">
      <w:pPr>
        <w:pStyle w:val="aa"/>
        <w:jc w:val="center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数据与信息及机器学习的数据基础</w:t>
      </w:r>
    </w:p>
    <w:p w14:paraId="0257DF14" w14:textId="77777777" w:rsidR="005E001D" w:rsidRPr="00F704FA" w:rsidRDefault="00944585" w:rsidP="00F704FA">
      <w:pPr>
        <w:pStyle w:val="1"/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 xml:space="preserve">01 </w:t>
      </w:r>
      <w:r w:rsidRPr="00F704FA">
        <w:rPr>
          <w:rFonts w:ascii="Times New Roman" w:eastAsia="楷体" w:hAnsi="Times New Roman"/>
          <w:lang w:eastAsia="zh-CN"/>
        </w:rPr>
        <w:t>数据与信息的概念</w:t>
      </w:r>
    </w:p>
    <w:p w14:paraId="0015C555" w14:textId="672FD74D" w:rsidR="005E001D" w:rsidRPr="00F704FA" w:rsidRDefault="00944585" w:rsidP="00F704FA">
      <w:pPr>
        <w:pStyle w:val="21"/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什么是数据</w:t>
      </w:r>
      <w:r w:rsidR="00F704FA">
        <w:rPr>
          <w:rFonts w:ascii="Times New Roman" w:eastAsia="楷体" w:hAnsi="Times New Roman" w:hint="eastAsia"/>
          <w:lang w:eastAsia="zh-CN"/>
        </w:rPr>
        <w:t>？</w:t>
      </w:r>
      <w:r w:rsidRPr="00F704FA">
        <w:rPr>
          <w:rFonts w:ascii="Times New Roman" w:eastAsia="楷体" w:hAnsi="Times New Roman"/>
          <w:lang w:eastAsia="zh-CN"/>
        </w:rPr>
        <w:t>什么是信息</w:t>
      </w:r>
      <w:r w:rsidR="00F704FA">
        <w:rPr>
          <w:rFonts w:ascii="Times New Roman" w:eastAsia="楷体" w:hAnsi="Times New Roman" w:hint="eastAsia"/>
          <w:lang w:eastAsia="zh-CN"/>
        </w:rPr>
        <w:t>？</w:t>
      </w:r>
    </w:p>
    <w:p w14:paraId="5E3FF0CC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数据是对观察、测量或事件的记录，可以是数字、文字、图像或信号。信息是把数据放进具体背景、加以组织和解释后，得到的有意义的内容。</w:t>
      </w:r>
      <w:r w:rsidRPr="00F704FA">
        <w:rPr>
          <w:rFonts w:ascii="Times New Roman" w:eastAsia="楷体" w:hAnsi="Times New Roman"/>
          <w:color w:val="00B050"/>
          <w:lang w:eastAsia="zh-CN"/>
        </w:rPr>
        <w:t>数据回答</w:t>
      </w:r>
      <w:r w:rsidRPr="00F704FA">
        <w:rPr>
          <w:rFonts w:ascii="Times New Roman" w:eastAsia="楷体" w:hAnsi="Times New Roman"/>
          <w:color w:val="00B050"/>
          <w:lang w:eastAsia="zh-CN"/>
        </w:rPr>
        <w:t>“</w:t>
      </w:r>
      <w:r w:rsidRPr="00F704FA">
        <w:rPr>
          <w:rFonts w:ascii="Times New Roman" w:eastAsia="楷体" w:hAnsi="Times New Roman"/>
          <w:color w:val="00B050"/>
          <w:lang w:eastAsia="zh-CN"/>
        </w:rPr>
        <w:t>记录了什么</w:t>
      </w:r>
      <w:r w:rsidRPr="00F704FA">
        <w:rPr>
          <w:rFonts w:ascii="Times New Roman" w:eastAsia="楷体" w:hAnsi="Times New Roman"/>
          <w:color w:val="00B050"/>
          <w:lang w:eastAsia="zh-CN"/>
        </w:rPr>
        <w:t>”</w:t>
      </w:r>
      <w:r w:rsidRPr="00F704FA">
        <w:rPr>
          <w:rFonts w:ascii="Times New Roman" w:eastAsia="楷体" w:hAnsi="Times New Roman"/>
          <w:color w:val="00B050"/>
          <w:lang w:eastAsia="zh-CN"/>
        </w:rPr>
        <w:t>，信息帮助回答</w:t>
      </w:r>
      <w:r w:rsidRPr="00F704FA">
        <w:rPr>
          <w:rFonts w:ascii="Times New Roman" w:eastAsia="楷体" w:hAnsi="Times New Roman"/>
          <w:color w:val="00B050"/>
          <w:lang w:eastAsia="zh-CN"/>
        </w:rPr>
        <w:t>“</w:t>
      </w:r>
      <w:r w:rsidRPr="00F704FA">
        <w:rPr>
          <w:rFonts w:ascii="Times New Roman" w:eastAsia="楷体" w:hAnsi="Times New Roman"/>
          <w:color w:val="00B050"/>
          <w:lang w:eastAsia="zh-CN"/>
        </w:rPr>
        <w:t>这些记录说明什么</w:t>
      </w:r>
      <w:r w:rsidRPr="00F704FA">
        <w:rPr>
          <w:rFonts w:ascii="Times New Roman" w:eastAsia="楷体" w:hAnsi="Times New Roman"/>
          <w:color w:val="00B050"/>
          <w:lang w:eastAsia="zh-CN"/>
        </w:rPr>
        <w:t>”</w:t>
      </w:r>
      <w:r w:rsidRPr="00F704FA">
        <w:rPr>
          <w:rFonts w:ascii="Times New Roman" w:eastAsia="楷体" w:hAnsi="Times New Roman"/>
          <w:lang w:eastAsia="zh-CN"/>
        </w:rP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8856"/>
      </w:tblGrid>
      <w:tr w:rsidR="005E001D" w:rsidRPr="00F704FA" w14:paraId="6DC3B971" w14:textId="77777777">
        <w:trPr>
          <w:cantSplit/>
          <w:tblHeader/>
          <w:jc w:val="center"/>
        </w:trPr>
        <w:tc>
          <w:tcPr>
            <w:tcW w:w="1224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05A54F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b/>
                <w:sz w:val="21"/>
              </w:rPr>
              <w:t>层次</w:t>
            </w:r>
          </w:p>
        </w:tc>
        <w:tc>
          <w:tcPr>
            <w:tcW w:w="8856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A3A37D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b/>
                <w:sz w:val="21"/>
              </w:rPr>
              <w:t>化学实验中的例子</w:t>
            </w:r>
          </w:p>
        </w:tc>
      </w:tr>
      <w:tr w:rsidR="005E001D" w:rsidRPr="00F704FA" w14:paraId="0F8275D4" w14:textId="77777777">
        <w:trPr>
          <w:cantSplit/>
          <w:jc w:val="center"/>
        </w:trPr>
        <w:tc>
          <w:tcPr>
            <w:tcW w:w="12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AE0563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数据</w:t>
            </w:r>
          </w:p>
        </w:tc>
        <w:tc>
          <w:tcPr>
            <w:tcW w:w="88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1158A5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温度计读数为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 xml:space="preserve"> 25.0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、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25.2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、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25.1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；记录中还需要说明单位、时间和测量对象。</w:t>
            </w:r>
          </w:p>
        </w:tc>
      </w:tr>
      <w:tr w:rsidR="005E001D" w:rsidRPr="00F704FA" w14:paraId="706E6B18" w14:textId="77777777">
        <w:trPr>
          <w:cantSplit/>
          <w:jc w:val="center"/>
        </w:trPr>
        <w:tc>
          <w:tcPr>
            <w:tcW w:w="12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EF0F39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信息</w:t>
            </w:r>
          </w:p>
        </w:tc>
        <w:tc>
          <w:tcPr>
            <w:tcW w:w="88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27C2F0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结合单位与连续测量时间，可以说：在所记录的时段内，反应液温度维持在约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 xml:space="preserve"> 25 ℃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。</w:t>
            </w:r>
          </w:p>
        </w:tc>
      </w:tr>
      <w:tr w:rsidR="005E001D" w:rsidRPr="00F704FA" w14:paraId="61530143" w14:textId="77777777">
        <w:trPr>
          <w:cantSplit/>
          <w:jc w:val="center"/>
        </w:trPr>
        <w:tc>
          <w:tcPr>
            <w:tcW w:w="12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0F65DD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关系</w:t>
            </w:r>
          </w:p>
        </w:tc>
        <w:tc>
          <w:tcPr>
            <w:tcW w:w="88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C3A9BA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记录提供依据；背景与分析赋予意义。同一数据可以用于回答不同问题。</w:t>
            </w:r>
          </w:p>
        </w:tc>
      </w:tr>
    </w:tbl>
    <w:p w14:paraId="48644620" w14:textId="77777777" w:rsidR="005E001D" w:rsidRPr="00F704FA" w:rsidRDefault="005E001D" w:rsidP="00F704FA">
      <w:pPr>
        <w:spacing w:after="0"/>
        <w:jc w:val="both"/>
        <w:rPr>
          <w:rFonts w:ascii="Times New Roman" w:eastAsia="楷体" w:hAnsi="Times New Roman"/>
          <w:lang w:eastAsia="zh-CN"/>
        </w:rPr>
      </w:pPr>
    </w:p>
    <w:p w14:paraId="49E30AD9" w14:textId="77777777" w:rsidR="005E001D" w:rsidRPr="00F704FA" w:rsidRDefault="00944585" w:rsidP="00F704FA">
      <w:pPr>
        <w:pStyle w:val="21"/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从实验记录和文献中找例子</w:t>
      </w:r>
    </w:p>
    <w:p w14:paraId="2623FCC7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b/>
          <w:lang w:eastAsia="zh-CN"/>
        </w:rPr>
        <w:t>练习示例（以下数值均为假设，方便替换成自己的真实记录）。</w:t>
      </w:r>
    </w:p>
    <w:p w14:paraId="4DA51EE1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实验记录中的数据：同一样品、相同测试设置下，溶液与薄膜的发射峰分别为</w:t>
      </w:r>
      <w:r w:rsidRPr="00F704FA">
        <w:rPr>
          <w:rFonts w:ascii="Times New Roman" w:eastAsia="楷体" w:hAnsi="Times New Roman"/>
          <w:lang w:eastAsia="zh-CN"/>
        </w:rPr>
        <w:t xml:space="preserve"> 450 nm </w:t>
      </w:r>
      <w:r w:rsidRPr="00F704FA">
        <w:rPr>
          <w:rFonts w:ascii="Times New Roman" w:eastAsia="楷体" w:hAnsi="Times New Roman"/>
          <w:lang w:eastAsia="zh-CN"/>
        </w:rPr>
        <w:t>和</w:t>
      </w:r>
      <w:r w:rsidRPr="00F704FA">
        <w:rPr>
          <w:rFonts w:ascii="Times New Roman" w:eastAsia="楷体" w:hAnsi="Times New Roman"/>
          <w:lang w:eastAsia="zh-CN"/>
        </w:rPr>
        <w:t xml:space="preserve"> 510 nm</w:t>
      </w:r>
      <w:r w:rsidRPr="00F704FA">
        <w:rPr>
          <w:rFonts w:ascii="Times New Roman" w:eastAsia="楷体" w:hAnsi="Times New Roman"/>
          <w:lang w:eastAsia="zh-CN"/>
        </w:rPr>
        <w:t>。提取的信息：该样品从溶液到薄膜后，发射峰红移了</w:t>
      </w:r>
      <w:r w:rsidRPr="00F704FA">
        <w:rPr>
          <w:rFonts w:ascii="Times New Roman" w:eastAsia="楷体" w:hAnsi="Times New Roman"/>
          <w:lang w:eastAsia="zh-CN"/>
        </w:rPr>
        <w:t xml:space="preserve"> 60 nm</w:t>
      </w:r>
      <w:r w:rsidRPr="00F704FA">
        <w:rPr>
          <w:rFonts w:ascii="Times New Roman" w:eastAsia="楷体" w:hAnsi="Times New Roman"/>
          <w:lang w:eastAsia="zh-CN"/>
        </w:rPr>
        <w:t>。</w:t>
      </w:r>
      <w:r w:rsidRPr="00F704FA">
        <w:rPr>
          <w:rFonts w:ascii="Times New Roman" w:eastAsia="楷体" w:hAnsi="Times New Roman"/>
          <w:color w:val="00B050"/>
          <w:lang w:eastAsia="zh-CN"/>
        </w:rPr>
        <w:t>边界：这个结果本身还不能证明红移由哪一种聚集机制引起</w:t>
      </w:r>
      <w:r w:rsidRPr="00F704FA">
        <w:rPr>
          <w:rFonts w:ascii="Times New Roman" w:eastAsia="楷体" w:hAnsi="Times New Roman"/>
          <w:lang w:eastAsia="zh-CN"/>
        </w:rPr>
        <w:t>。</w:t>
      </w:r>
    </w:p>
    <w:p w14:paraId="529E8D9B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文献表格中的数据：同一底物在其余条件相同时，催化剂</w:t>
      </w:r>
      <w:r w:rsidRPr="00F704FA">
        <w:rPr>
          <w:rFonts w:ascii="Times New Roman" w:eastAsia="楷体" w:hAnsi="Times New Roman"/>
          <w:lang w:eastAsia="zh-CN"/>
        </w:rPr>
        <w:t xml:space="preserve"> A </w:t>
      </w:r>
      <w:r w:rsidRPr="00F704FA">
        <w:rPr>
          <w:rFonts w:ascii="Times New Roman" w:eastAsia="楷体" w:hAnsi="Times New Roman"/>
          <w:lang w:eastAsia="zh-CN"/>
        </w:rPr>
        <w:t>和</w:t>
      </w:r>
      <w:r w:rsidRPr="00F704FA">
        <w:rPr>
          <w:rFonts w:ascii="Times New Roman" w:eastAsia="楷体" w:hAnsi="Times New Roman"/>
          <w:lang w:eastAsia="zh-CN"/>
        </w:rPr>
        <w:t xml:space="preserve"> B </w:t>
      </w:r>
      <w:r w:rsidRPr="00F704FA">
        <w:rPr>
          <w:rFonts w:ascii="Times New Roman" w:eastAsia="楷体" w:hAnsi="Times New Roman"/>
          <w:lang w:eastAsia="zh-CN"/>
        </w:rPr>
        <w:t>对应的分离收率为</w:t>
      </w:r>
      <w:r w:rsidRPr="00F704FA">
        <w:rPr>
          <w:rFonts w:ascii="Times New Roman" w:eastAsia="楷体" w:hAnsi="Times New Roman"/>
          <w:lang w:eastAsia="zh-CN"/>
        </w:rPr>
        <w:t xml:space="preserve"> 42% </w:t>
      </w:r>
      <w:r w:rsidRPr="00F704FA">
        <w:rPr>
          <w:rFonts w:ascii="Times New Roman" w:eastAsia="楷体" w:hAnsi="Times New Roman"/>
          <w:lang w:eastAsia="zh-CN"/>
        </w:rPr>
        <w:t>和</w:t>
      </w:r>
      <w:r w:rsidRPr="00F704FA">
        <w:rPr>
          <w:rFonts w:ascii="Times New Roman" w:eastAsia="楷体" w:hAnsi="Times New Roman"/>
          <w:lang w:eastAsia="zh-CN"/>
        </w:rPr>
        <w:t xml:space="preserve"> 78%</w:t>
      </w:r>
      <w:r w:rsidRPr="00F704FA">
        <w:rPr>
          <w:rFonts w:ascii="Times New Roman" w:eastAsia="楷体" w:hAnsi="Times New Roman"/>
          <w:lang w:eastAsia="zh-CN"/>
        </w:rPr>
        <w:t>。提取的信息：在这组条件和该底物上，</w:t>
      </w:r>
      <w:r w:rsidRPr="00F704FA">
        <w:rPr>
          <w:rFonts w:ascii="Times New Roman" w:eastAsia="楷体" w:hAnsi="Times New Roman"/>
          <w:lang w:eastAsia="zh-CN"/>
        </w:rPr>
        <w:t xml:space="preserve">B </w:t>
      </w:r>
      <w:r w:rsidRPr="00F704FA">
        <w:rPr>
          <w:rFonts w:ascii="Times New Roman" w:eastAsia="楷体" w:hAnsi="Times New Roman"/>
          <w:lang w:eastAsia="zh-CN"/>
        </w:rPr>
        <w:t>得到更高收率。</w:t>
      </w:r>
      <w:r w:rsidRPr="00F704FA">
        <w:rPr>
          <w:rFonts w:ascii="Times New Roman" w:eastAsia="楷体" w:hAnsi="Times New Roman"/>
          <w:color w:val="00B050"/>
          <w:lang w:eastAsia="zh-CN"/>
        </w:rPr>
        <w:t>边界：不能据此断言</w:t>
      </w:r>
      <w:r w:rsidRPr="00F704FA">
        <w:rPr>
          <w:rFonts w:ascii="Times New Roman" w:eastAsia="楷体" w:hAnsi="Times New Roman"/>
          <w:color w:val="00B050"/>
          <w:lang w:eastAsia="zh-CN"/>
        </w:rPr>
        <w:t xml:space="preserve"> B </w:t>
      </w:r>
      <w:r w:rsidRPr="00F704FA">
        <w:rPr>
          <w:rFonts w:ascii="Times New Roman" w:eastAsia="楷体" w:hAnsi="Times New Roman"/>
          <w:color w:val="00B050"/>
          <w:lang w:eastAsia="zh-CN"/>
        </w:rPr>
        <w:t>对所有底物都更好</w:t>
      </w:r>
      <w:r w:rsidRPr="00F704FA">
        <w:rPr>
          <w:rFonts w:ascii="Times New Roman" w:eastAsia="楷体" w:hAnsi="Times New Roman"/>
          <w:lang w:eastAsia="zh-CN"/>
        </w:rPr>
        <w:t>。</w:t>
      </w:r>
    </w:p>
    <w:p w14:paraId="27AB546B" w14:textId="77777777" w:rsidR="005E001D" w:rsidRPr="00F704FA" w:rsidRDefault="00944585" w:rsidP="00F704FA">
      <w:pPr>
        <w:pStyle w:val="21"/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计算机需要什么作为燃料</w:t>
      </w:r>
    </w:p>
    <w:p w14:paraId="72D24FEE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物理上，计算机运行需要电能；计算任务需要程序与输入。机器学习把数据当作学习材料，由算法调整模型参数，并消耗算力。仅把大量文件放进电脑，并不会自动产生可靠的知识。</w:t>
      </w:r>
    </w:p>
    <w:p w14:paraId="09514D1C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讨论：上面的</w:t>
      </w:r>
      <w:r w:rsidRPr="00F704FA">
        <w:rPr>
          <w:rFonts w:ascii="Times New Roman" w:eastAsia="楷体" w:hAnsi="Times New Roman"/>
          <w:lang w:eastAsia="zh-CN"/>
        </w:rPr>
        <w:t>“</w:t>
      </w:r>
      <w:r w:rsidRPr="00F704FA">
        <w:rPr>
          <w:rFonts w:ascii="Times New Roman" w:eastAsia="楷体" w:hAnsi="Times New Roman"/>
          <w:lang w:eastAsia="zh-CN"/>
        </w:rPr>
        <w:t>红移了</w:t>
      </w:r>
      <w:r w:rsidRPr="00F704FA">
        <w:rPr>
          <w:rFonts w:ascii="Times New Roman" w:eastAsia="楷体" w:hAnsi="Times New Roman"/>
          <w:lang w:eastAsia="zh-CN"/>
        </w:rPr>
        <w:t xml:space="preserve"> 60 nm”</w:t>
      </w:r>
      <w:r w:rsidRPr="00F704FA">
        <w:rPr>
          <w:rFonts w:ascii="Times New Roman" w:eastAsia="楷体" w:hAnsi="Times New Roman"/>
          <w:lang w:eastAsia="zh-CN"/>
        </w:rPr>
        <w:t>保存进另一张表后，能不能又成为数据？</w:t>
      </w:r>
      <w:r w:rsidRPr="00F704FA">
        <w:rPr>
          <w:rFonts w:ascii="Times New Roman" w:eastAsia="楷体" w:hAnsi="Times New Roman"/>
          <w:lang w:eastAsia="zh-CN"/>
        </w:rPr>
        <w:br/>
      </w:r>
      <w:r w:rsidRPr="00F704FA">
        <w:rPr>
          <w:rFonts w:ascii="Times New Roman" w:eastAsia="楷体" w:hAnsi="Times New Roman"/>
          <w:lang w:eastAsia="zh-CN"/>
        </w:rPr>
        <w:t>参考思路：能。数据与信息是相对于使用场景而言的，并非两种永远互斥的东西。</w:t>
      </w:r>
    </w:p>
    <w:p w14:paraId="0F07D12A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br w:type="page"/>
      </w:r>
    </w:p>
    <w:p w14:paraId="39EFEF42" w14:textId="77777777" w:rsidR="005E001D" w:rsidRPr="00F704FA" w:rsidRDefault="00944585" w:rsidP="00F704FA">
      <w:pPr>
        <w:pStyle w:val="1"/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lastRenderedPageBreak/>
        <w:t xml:space="preserve">02 </w:t>
      </w:r>
      <w:r w:rsidRPr="00F704FA">
        <w:rPr>
          <w:rFonts w:ascii="Times New Roman" w:eastAsia="楷体" w:hAnsi="Times New Roman"/>
          <w:lang w:eastAsia="zh-CN"/>
        </w:rPr>
        <w:t>数据的类型与计算机表示</w:t>
      </w:r>
    </w:p>
    <w:p w14:paraId="44BA76E4" w14:textId="77777777" w:rsidR="005E001D" w:rsidRPr="00F704FA" w:rsidRDefault="00944585" w:rsidP="00F704FA">
      <w:pPr>
        <w:pStyle w:val="21"/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数据可以按不同角度分类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600"/>
        <w:gridCol w:w="4752"/>
      </w:tblGrid>
      <w:tr w:rsidR="005E001D" w:rsidRPr="00F704FA" w14:paraId="72258AA7" w14:textId="77777777">
        <w:trPr>
          <w:cantSplit/>
          <w:tblHeader/>
          <w:jc w:val="center"/>
        </w:trPr>
        <w:tc>
          <w:tcPr>
            <w:tcW w:w="1728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6FE058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b/>
                <w:sz w:val="21"/>
              </w:rPr>
              <w:t>分类角度</w:t>
            </w:r>
          </w:p>
        </w:tc>
        <w:tc>
          <w:tcPr>
            <w:tcW w:w="3600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FE6FCE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b/>
                <w:sz w:val="21"/>
              </w:rPr>
              <w:t>常见类型</w:t>
            </w:r>
          </w:p>
        </w:tc>
        <w:tc>
          <w:tcPr>
            <w:tcW w:w="4752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13F187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b/>
                <w:sz w:val="21"/>
              </w:rPr>
              <w:t>科研例子</w:t>
            </w:r>
          </w:p>
        </w:tc>
      </w:tr>
      <w:tr w:rsidR="005E001D" w:rsidRPr="00F704FA" w14:paraId="4BAA99D1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4514DE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按统计含义</w:t>
            </w:r>
          </w:p>
        </w:tc>
        <w:tc>
          <w:tcPr>
            <w:tcW w:w="360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3E4736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数值型；类别型</w:t>
            </w:r>
          </w:p>
        </w:tc>
        <w:tc>
          <w:tcPr>
            <w:tcW w:w="47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3ED627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收率、温度；溶剂类别、催化剂种类</w:t>
            </w:r>
          </w:p>
        </w:tc>
      </w:tr>
      <w:tr w:rsidR="005E001D" w:rsidRPr="00F704FA" w14:paraId="20AC4E6F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DBC64F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按内容形式</w:t>
            </w:r>
          </w:p>
        </w:tc>
        <w:tc>
          <w:tcPr>
            <w:tcW w:w="360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53A74F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文本、图像、音频、视频、序列、图结构等</w:t>
            </w:r>
          </w:p>
        </w:tc>
        <w:tc>
          <w:tcPr>
            <w:tcW w:w="47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4636AE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实验描述、显微照片、光谱序列、分子连接图</w:t>
            </w:r>
          </w:p>
        </w:tc>
      </w:tr>
      <w:tr w:rsidR="005E001D" w:rsidRPr="00F704FA" w14:paraId="1BCAE0CE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49CC06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按组织方式</w:t>
            </w:r>
          </w:p>
        </w:tc>
        <w:tc>
          <w:tcPr>
            <w:tcW w:w="360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24BFEB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结构化、半结构化、非结构化</w:t>
            </w:r>
          </w:p>
        </w:tc>
        <w:tc>
          <w:tcPr>
            <w:tcW w:w="47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E38DFD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实验表格、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 xml:space="preserve">JSON 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记录、自由书写的讨论</w:t>
            </w:r>
          </w:p>
        </w:tc>
      </w:tr>
    </w:tbl>
    <w:p w14:paraId="511EF3A9" w14:textId="77777777" w:rsidR="005E001D" w:rsidRPr="00F704FA" w:rsidRDefault="005E001D" w:rsidP="00F704FA">
      <w:pPr>
        <w:spacing w:after="0"/>
        <w:jc w:val="both"/>
        <w:rPr>
          <w:rFonts w:ascii="Times New Roman" w:eastAsia="楷体" w:hAnsi="Times New Roman"/>
          <w:lang w:eastAsia="zh-CN"/>
        </w:rPr>
      </w:pPr>
    </w:p>
    <w:p w14:paraId="2B767668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这些分类可以同时成立。</w:t>
      </w:r>
      <w:r w:rsidRPr="00F704FA">
        <w:rPr>
          <w:rFonts w:ascii="Times New Roman" w:eastAsia="楷体" w:hAnsi="Times New Roman"/>
          <w:color w:val="00B050"/>
          <w:lang w:eastAsia="zh-CN"/>
        </w:rPr>
        <w:t>收率既是数值型数据，也可以放在结构化表格中</w:t>
      </w:r>
      <w:r w:rsidRPr="00F704FA">
        <w:rPr>
          <w:rFonts w:ascii="Times New Roman" w:eastAsia="楷体" w:hAnsi="Times New Roman"/>
          <w:lang w:eastAsia="zh-CN"/>
        </w:rPr>
        <w:t>。类别即使编码成数字也不一定有大小关系，例如用</w:t>
      </w:r>
      <w:r w:rsidRPr="00F704FA">
        <w:rPr>
          <w:rFonts w:ascii="Times New Roman" w:eastAsia="楷体" w:hAnsi="Times New Roman"/>
          <w:lang w:eastAsia="zh-CN"/>
        </w:rPr>
        <w:t xml:space="preserve"> 1 </w:t>
      </w:r>
      <w:r w:rsidRPr="00F704FA">
        <w:rPr>
          <w:rFonts w:ascii="Times New Roman" w:eastAsia="楷体" w:hAnsi="Times New Roman"/>
          <w:lang w:eastAsia="zh-CN"/>
        </w:rPr>
        <w:t>表示</w:t>
      </w:r>
      <w:r w:rsidRPr="00F704FA">
        <w:rPr>
          <w:rFonts w:ascii="Times New Roman" w:eastAsia="楷体" w:hAnsi="Times New Roman"/>
          <w:lang w:eastAsia="zh-CN"/>
        </w:rPr>
        <w:t xml:space="preserve"> THF</w:t>
      </w:r>
      <w:r w:rsidRPr="00F704FA">
        <w:rPr>
          <w:rFonts w:ascii="Times New Roman" w:eastAsia="楷体" w:hAnsi="Times New Roman"/>
          <w:lang w:eastAsia="zh-CN"/>
        </w:rPr>
        <w:t>、</w:t>
      </w:r>
      <w:r w:rsidRPr="00F704FA">
        <w:rPr>
          <w:rFonts w:ascii="Times New Roman" w:eastAsia="楷体" w:hAnsi="Times New Roman"/>
          <w:lang w:eastAsia="zh-CN"/>
        </w:rPr>
        <w:t xml:space="preserve">2 </w:t>
      </w:r>
      <w:r w:rsidRPr="00F704FA">
        <w:rPr>
          <w:rFonts w:ascii="Times New Roman" w:eastAsia="楷体" w:hAnsi="Times New Roman"/>
          <w:lang w:eastAsia="zh-CN"/>
        </w:rPr>
        <w:t>表示</w:t>
      </w:r>
      <w:r w:rsidRPr="00F704FA">
        <w:rPr>
          <w:rFonts w:ascii="Times New Roman" w:eastAsia="楷体" w:hAnsi="Times New Roman"/>
          <w:lang w:eastAsia="zh-CN"/>
        </w:rPr>
        <w:t xml:space="preserve"> DCM</w:t>
      </w:r>
      <w:r w:rsidRPr="00F704FA">
        <w:rPr>
          <w:rFonts w:ascii="Times New Roman" w:eastAsia="楷体" w:hAnsi="Times New Roman"/>
          <w:lang w:eastAsia="zh-CN"/>
        </w:rPr>
        <w:t>，不意味着</w:t>
      </w:r>
      <w:r w:rsidRPr="00F704FA">
        <w:rPr>
          <w:rFonts w:ascii="Times New Roman" w:eastAsia="楷体" w:hAnsi="Times New Roman"/>
          <w:lang w:eastAsia="zh-CN"/>
        </w:rPr>
        <w:t xml:space="preserve"> DCM </w:t>
      </w:r>
      <w:r w:rsidRPr="00F704FA">
        <w:rPr>
          <w:rFonts w:ascii="Times New Roman" w:eastAsia="楷体" w:hAnsi="Times New Roman"/>
          <w:lang w:eastAsia="zh-CN"/>
        </w:rPr>
        <w:t>是</w:t>
      </w:r>
      <w:r w:rsidRPr="00F704FA">
        <w:rPr>
          <w:rFonts w:ascii="Times New Roman" w:eastAsia="楷体" w:hAnsi="Times New Roman"/>
          <w:lang w:eastAsia="zh-CN"/>
        </w:rPr>
        <w:t xml:space="preserve"> THF </w:t>
      </w:r>
      <w:r w:rsidRPr="00F704FA">
        <w:rPr>
          <w:rFonts w:ascii="Times New Roman" w:eastAsia="楷体" w:hAnsi="Times New Roman"/>
          <w:lang w:eastAsia="zh-CN"/>
        </w:rPr>
        <w:t>的两倍。</w:t>
      </w:r>
    </w:p>
    <w:p w14:paraId="7AA94FB7" w14:textId="77777777" w:rsidR="005E001D" w:rsidRPr="00F704FA" w:rsidRDefault="00944585" w:rsidP="00F704FA">
      <w:pPr>
        <w:pStyle w:val="21"/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只有</w:t>
      </w:r>
      <w:r w:rsidRPr="00F704FA">
        <w:rPr>
          <w:rFonts w:ascii="Times New Roman" w:eastAsia="楷体" w:hAnsi="Times New Roman"/>
          <w:lang w:eastAsia="zh-CN"/>
        </w:rPr>
        <w:t xml:space="preserve"> 0 </w:t>
      </w:r>
      <w:r w:rsidRPr="00F704FA">
        <w:rPr>
          <w:rFonts w:ascii="Times New Roman" w:eastAsia="楷体" w:hAnsi="Times New Roman"/>
          <w:lang w:eastAsia="zh-CN"/>
        </w:rPr>
        <w:t>和</w:t>
      </w:r>
      <w:r w:rsidRPr="00F704FA">
        <w:rPr>
          <w:rFonts w:ascii="Times New Roman" w:eastAsia="楷体" w:hAnsi="Times New Roman"/>
          <w:lang w:eastAsia="zh-CN"/>
        </w:rPr>
        <w:t xml:space="preserve"> 1 </w:t>
      </w:r>
      <w:r w:rsidRPr="00F704FA">
        <w:rPr>
          <w:rFonts w:ascii="Times New Roman" w:eastAsia="楷体" w:hAnsi="Times New Roman"/>
          <w:lang w:eastAsia="zh-CN"/>
        </w:rPr>
        <w:t>为什么还能存各种东西</w:t>
      </w:r>
    </w:p>
    <w:p w14:paraId="4C641AD0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计算机用可区分的物理状态承载二进制位。</w:t>
      </w:r>
      <w:r w:rsidRPr="00F704FA">
        <w:rPr>
          <w:rFonts w:ascii="Times New Roman" w:eastAsia="楷体" w:hAnsi="Times New Roman"/>
          <w:lang w:eastAsia="zh-CN"/>
        </w:rPr>
        <w:t xml:space="preserve">1 </w:t>
      </w:r>
      <w:r w:rsidRPr="00F704FA">
        <w:rPr>
          <w:rFonts w:ascii="Times New Roman" w:eastAsia="楷体" w:hAnsi="Times New Roman"/>
          <w:lang w:eastAsia="zh-CN"/>
        </w:rPr>
        <w:t>个二进制位叫</w:t>
      </w:r>
      <w:r w:rsidRPr="00F704FA">
        <w:rPr>
          <w:rFonts w:ascii="Times New Roman" w:eastAsia="楷体" w:hAnsi="Times New Roman"/>
          <w:lang w:eastAsia="zh-CN"/>
        </w:rPr>
        <w:t xml:space="preserve"> bit</w:t>
      </w:r>
      <w:r w:rsidRPr="00F704FA">
        <w:rPr>
          <w:rFonts w:ascii="Times New Roman" w:eastAsia="楷体" w:hAnsi="Times New Roman"/>
          <w:lang w:eastAsia="zh-CN"/>
        </w:rPr>
        <w:t>，</w:t>
      </w:r>
      <w:r w:rsidRPr="00F704FA">
        <w:rPr>
          <w:rFonts w:ascii="Times New Roman" w:eastAsia="楷体" w:hAnsi="Times New Roman"/>
          <w:lang w:eastAsia="zh-CN"/>
        </w:rPr>
        <w:t xml:space="preserve">8 bit </w:t>
      </w:r>
      <w:r w:rsidRPr="00F704FA">
        <w:rPr>
          <w:rFonts w:ascii="Times New Roman" w:eastAsia="楷体" w:hAnsi="Times New Roman"/>
          <w:lang w:eastAsia="zh-CN"/>
        </w:rPr>
        <w:t>通常组成</w:t>
      </w:r>
      <w:r w:rsidRPr="00F704FA">
        <w:rPr>
          <w:rFonts w:ascii="Times New Roman" w:eastAsia="楷体" w:hAnsi="Times New Roman"/>
          <w:lang w:eastAsia="zh-CN"/>
        </w:rPr>
        <w:t xml:space="preserve"> 1 byte</w:t>
      </w:r>
      <w:r w:rsidRPr="00F704FA">
        <w:rPr>
          <w:rFonts w:ascii="Times New Roman" w:eastAsia="楷体" w:hAnsi="Times New Roman"/>
          <w:lang w:eastAsia="zh-CN"/>
        </w:rPr>
        <w:t>（字节）。编码规则规定如何把文字、数值等转换成位串，软件再按同样的规则解释它们。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4608"/>
        <w:gridCol w:w="4320"/>
      </w:tblGrid>
      <w:tr w:rsidR="005E001D" w:rsidRPr="00F704FA" w14:paraId="53F386FD" w14:textId="77777777">
        <w:trPr>
          <w:cantSplit/>
          <w:tblHeader/>
          <w:jc w:val="center"/>
        </w:trPr>
        <w:tc>
          <w:tcPr>
            <w:tcW w:w="1152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6576CE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b/>
                <w:sz w:val="21"/>
              </w:rPr>
              <w:t>对象</w:t>
            </w:r>
          </w:p>
        </w:tc>
        <w:tc>
          <w:tcPr>
            <w:tcW w:w="4608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8B7D20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b/>
                <w:sz w:val="21"/>
              </w:rPr>
              <w:t>怎么表示</w:t>
            </w:r>
          </w:p>
        </w:tc>
        <w:tc>
          <w:tcPr>
            <w:tcW w:w="4320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4C089E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b/>
                <w:sz w:val="21"/>
              </w:rPr>
              <w:t>初学者需要注意</w:t>
            </w:r>
          </w:p>
        </w:tc>
      </w:tr>
      <w:tr w:rsidR="005E001D" w:rsidRPr="00F704FA" w14:paraId="0F1E5A79" w14:textId="77777777">
        <w:trPr>
          <w:cantSplit/>
          <w:jc w:val="center"/>
        </w:trPr>
        <w:tc>
          <w:tcPr>
            <w:tcW w:w="11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8E7FD6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数字</w:t>
            </w:r>
          </w:p>
        </w:tc>
        <w:tc>
          <w:tcPr>
            <w:tcW w:w="46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CB0C1C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整数可用二进制表示，例如十进制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 xml:space="preserve"> 13 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写成二进制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 xml:space="preserve"> 1101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；小数常用浮点数。</w:t>
            </w:r>
          </w:p>
        </w:tc>
        <w:tc>
          <w:tcPr>
            <w:tcW w:w="43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9C6011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位数有限，因此很多小数只能近似表示；数值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 xml:space="preserve"> 13 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和文本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“13”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的存储含义不同。</w:t>
            </w:r>
          </w:p>
        </w:tc>
      </w:tr>
      <w:tr w:rsidR="005E001D" w:rsidRPr="00F704FA" w14:paraId="5A3CBFC6" w14:textId="77777777">
        <w:trPr>
          <w:cantSplit/>
          <w:jc w:val="center"/>
        </w:trPr>
        <w:tc>
          <w:tcPr>
            <w:tcW w:w="11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8195D2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文字</w:t>
            </w:r>
          </w:p>
        </w:tc>
        <w:tc>
          <w:tcPr>
            <w:tcW w:w="46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5D662A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color w:val="00B050"/>
                <w:sz w:val="21"/>
                <w:lang w:eastAsia="zh-CN"/>
              </w:rPr>
              <w:t>先用</w:t>
            </w:r>
            <w:r w:rsidRPr="00F704FA">
              <w:rPr>
                <w:rFonts w:ascii="Times New Roman" w:eastAsia="楷体" w:hAnsi="Times New Roman"/>
                <w:color w:val="00B050"/>
                <w:sz w:val="21"/>
                <w:lang w:eastAsia="zh-CN"/>
              </w:rPr>
              <w:t xml:space="preserve"> Unicode </w:t>
            </w:r>
            <w:r w:rsidRPr="00F704FA">
              <w:rPr>
                <w:rFonts w:ascii="Times New Roman" w:eastAsia="楷体" w:hAnsi="Times New Roman"/>
                <w:color w:val="00B050"/>
                <w:sz w:val="21"/>
                <w:lang w:eastAsia="zh-CN"/>
              </w:rPr>
              <w:t>为字符分配码位，再用</w:t>
            </w:r>
            <w:r w:rsidRPr="00F704FA">
              <w:rPr>
                <w:rFonts w:ascii="Times New Roman" w:eastAsia="楷体" w:hAnsi="Times New Roman"/>
                <w:color w:val="00B050"/>
                <w:sz w:val="21"/>
                <w:lang w:eastAsia="zh-CN"/>
              </w:rPr>
              <w:t xml:space="preserve"> UTF-8 </w:t>
            </w:r>
            <w:r w:rsidRPr="00F704FA">
              <w:rPr>
                <w:rFonts w:ascii="Times New Roman" w:eastAsia="楷体" w:hAnsi="Times New Roman"/>
                <w:color w:val="00B050"/>
                <w:sz w:val="21"/>
                <w:lang w:eastAsia="zh-CN"/>
              </w:rPr>
              <w:t>等编码变成字节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。</w:t>
            </w:r>
          </w:p>
        </w:tc>
        <w:tc>
          <w:tcPr>
            <w:tcW w:w="43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254109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例如字母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 xml:space="preserve"> A 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的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 xml:space="preserve"> UTF-8 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字节为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 xml:space="preserve"> 01000001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。中文也按编码规则存储，并非先变成图片。</w:t>
            </w:r>
          </w:p>
        </w:tc>
      </w:tr>
      <w:tr w:rsidR="005E001D" w:rsidRPr="00F704FA" w14:paraId="503E1344" w14:textId="77777777">
        <w:trPr>
          <w:cantSplit/>
          <w:jc w:val="center"/>
        </w:trPr>
        <w:tc>
          <w:tcPr>
            <w:tcW w:w="11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95F009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图片</w:t>
            </w:r>
          </w:p>
        </w:tc>
        <w:tc>
          <w:tcPr>
            <w:tcW w:w="46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2672B1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常见位图是</w:t>
            </w:r>
            <w:r w:rsidRPr="00F704FA">
              <w:rPr>
                <w:rFonts w:ascii="Times New Roman" w:eastAsia="楷体" w:hAnsi="Times New Roman"/>
                <w:color w:val="00B050"/>
                <w:sz w:val="21"/>
                <w:lang w:eastAsia="zh-CN"/>
              </w:rPr>
              <w:t>像素网格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；每个像素保存颜色值，例如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 xml:space="preserve"> RGB 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三个通道。</w:t>
            </w:r>
          </w:p>
        </w:tc>
        <w:tc>
          <w:tcPr>
            <w:tcW w:w="43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0ADFF2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宽、高、色深和压缩方式都影响文件；</w:t>
            </w:r>
            <w:r w:rsidRPr="00F704FA">
              <w:rPr>
                <w:rFonts w:ascii="Times New Roman" w:eastAsia="楷体" w:hAnsi="Times New Roman"/>
                <w:color w:val="00B050"/>
                <w:sz w:val="21"/>
                <w:lang w:eastAsia="zh-CN"/>
              </w:rPr>
              <w:t>矢量图则保存路径、形状等绘图描述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。</w:t>
            </w:r>
          </w:p>
        </w:tc>
      </w:tr>
      <w:tr w:rsidR="005E001D" w:rsidRPr="00F704FA" w14:paraId="09C624B8" w14:textId="77777777">
        <w:trPr>
          <w:cantSplit/>
          <w:jc w:val="center"/>
        </w:trPr>
        <w:tc>
          <w:tcPr>
            <w:tcW w:w="11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75F510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分子结构</w:t>
            </w:r>
          </w:p>
        </w:tc>
        <w:tc>
          <w:tcPr>
            <w:tcW w:w="46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474D17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可保存原子种类、键及连接关系，形成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“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分子图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”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；也可写成</w:t>
            </w:r>
            <w:r w:rsidRPr="00F704FA">
              <w:rPr>
                <w:rFonts w:ascii="Times New Roman" w:eastAsia="楷体" w:hAnsi="Times New Roman"/>
                <w:color w:val="00B050"/>
                <w:sz w:val="21"/>
                <w:lang w:eastAsia="zh-CN"/>
              </w:rPr>
              <w:t xml:space="preserve"> SMILES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，乙醇为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 xml:space="preserve"> CCO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。</w:t>
            </w:r>
          </w:p>
        </w:tc>
        <w:tc>
          <w:tcPr>
            <w:tcW w:w="43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6542F3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完整描述可能还需要立体化学、电荷等字段；</w:t>
            </w:r>
            <w:r w:rsidRPr="00F704FA">
              <w:rPr>
                <w:rFonts w:ascii="Times New Roman" w:eastAsia="楷体" w:hAnsi="Times New Roman"/>
                <w:color w:val="00B050"/>
                <w:sz w:val="21"/>
                <w:lang w:eastAsia="zh-CN"/>
              </w:rPr>
              <w:t>三维坐标另行保存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。结构截图主要记录像素。</w:t>
            </w:r>
            <w:r w:rsidRPr="00F704FA">
              <w:rPr>
                <w:rFonts w:ascii="Times New Roman" w:eastAsia="楷体" w:hAnsi="Times New Roman"/>
                <w:sz w:val="21"/>
                <w:vertAlign w:val="superscript"/>
              </w:rPr>
              <w:t>[1]</w:t>
            </w:r>
          </w:p>
        </w:tc>
      </w:tr>
    </w:tbl>
    <w:p w14:paraId="117B626A" w14:textId="77777777" w:rsidR="005E001D" w:rsidRPr="00F704FA" w:rsidRDefault="005E001D" w:rsidP="00F704FA">
      <w:pPr>
        <w:spacing w:after="0"/>
        <w:jc w:val="both"/>
        <w:rPr>
          <w:rFonts w:ascii="Times New Roman" w:eastAsia="楷体" w:hAnsi="Times New Roman"/>
        </w:rPr>
      </w:pPr>
    </w:p>
    <w:p w14:paraId="457B3F7E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color w:val="EE0000"/>
          <w:lang w:eastAsia="zh-CN"/>
        </w:rPr>
        <w:t>同一个分子可以有不止一种有效的</w:t>
      </w:r>
      <w:r w:rsidRPr="00F704FA">
        <w:rPr>
          <w:rFonts w:ascii="Times New Roman" w:eastAsia="楷体" w:hAnsi="Times New Roman"/>
          <w:color w:val="EE0000"/>
          <w:lang w:eastAsia="zh-CN"/>
        </w:rPr>
        <w:t xml:space="preserve"> SMILES </w:t>
      </w:r>
      <w:r w:rsidRPr="00F704FA">
        <w:rPr>
          <w:rFonts w:ascii="Times New Roman" w:eastAsia="楷体" w:hAnsi="Times New Roman"/>
          <w:color w:val="EE0000"/>
          <w:lang w:eastAsia="zh-CN"/>
        </w:rPr>
        <w:t>写法</w:t>
      </w:r>
      <w:r w:rsidRPr="00F704FA">
        <w:rPr>
          <w:rFonts w:ascii="Times New Roman" w:eastAsia="楷体" w:hAnsi="Times New Roman"/>
          <w:lang w:eastAsia="zh-CN"/>
        </w:rPr>
        <w:t>；</w:t>
      </w:r>
      <w:r w:rsidRPr="00F704FA">
        <w:rPr>
          <w:rFonts w:ascii="Times New Roman" w:eastAsia="楷体" w:hAnsi="Times New Roman"/>
          <w:color w:val="EE0000"/>
          <w:lang w:eastAsia="zh-CN"/>
        </w:rPr>
        <w:t>普通</w:t>
      </w:r>
      <w:r w:rsidRPr="00F704FA">
        <w:rPr>
          <w:rFonts w:ascii="Times New Roman" w:eastAsia="楷体" w:hAnsi="Times New Roman"/>
          <w:color w:val="EE0000"/>
          <w:lang w:eastAsia="zh-CN"/>
        </w:rPr>
        <w:t xml:space="preserve"> SMILES </w:t>
      </w:r>
      <w:r w:rsidRPr="00F704FA">
        <w:rPr>
          <w:rFonts w:ascii="Times New Roman" w:eastAsia="楷体" w:hAnsi="Times New Roman"/>
          <w:color w:val="EE0000"/>
          <w:lang w:eastAsia="zh-CN"/>
        </w:rPr>
        <w:t>不等于唯一编号，也不会自动包含分子的三维构象</w:t>
      </w:r>
      <w:r w:rsidRPr="00F704FA">
        <w:rPr>
          <w:rFonts w:ascii="Times New Roman" w:eastAsia="楷体" w:hAnsi="Times New Roman"/>
          <w:lang w:eastAsia="zh-CN"/>
        </w:rPr>
        <w:t>。</w:t>
      </w:r>
      <w:r w:rsidRPr="00F704FA">
        <w:rPr>
          <w:rFonts w:ascii="Times New Roman" w:eastAsia="楷体" w:hAnsi="Times New Roman"/>
          <w:vertAlign w:val="superscript"/>
          <w:lang w:eastAsia="zh-CN"/>
        </w:rPr>
        <w:t>[1]</w:t>
      </w:r>
      <w:r w:rsidRPr="00F704FA">
        <w:rPr>
          <w:rFonts w:ascii="Times New Roman" w:eastAsia="楷体" w:hAnsi="Times New Roman"/>
          <w:lang w:eastAsia="zh-CN"/>
        </w:rPr>
        <w:t xml:space="preserve"> </w:t>
      </w:r>
      <w:r w:rsidRPr="00F704FA">
        <w:rPr>
          <w:rFonts w:ascii="Times New Roman" w:eastAsia="楷体" w:hAnsi="Times New Roman"/>
          <w:lang w:eastAsia="zh-CN"/>
        </w:rPr>
        <w:t>对聚合物，仅一个重复单元也不能完整说明链长分布、序列、端基和样品状态。</w:t>
      </w:r>
    </w:p>
    <w:p w14:paraId="243FAD73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讨论：一张结构式截图和一个可编辑的结构文件，哪一个更容易被程序直接用于检索相同分子？为什么？</w:t>
      </w:r>
    </w:p>
    <w:p w14:paraId="39EDE51A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br w:type="page"/>
      </w:r>
    </w:p>
    <w:p w14:paraId="767AE57E" w14:textId="77777777" w:rsidR="005E001D" w:rsidRPr="00F704FA" w:rsidRDefault="00944585" w:rsidP="00F704FA">
      <w:pPr>
        <w:pStyle w:val="1"/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 xml:space="preserve">03 </w:t>
      </w:r>
      <w:r w:rsidRPr="00F704FA">
        <w:rPr>
          <w:rFonts w:ascii="Times New Roman" w:eastAsia="楷体" w:hAnsi="Times New Roman"/>
          <w:lang w:eastAsia="zh-CN"/>
        </w:rPr>
        <w:t>结构化与非结构化科研数据</w:t>
      </w:r>
    </w:p>
    <w:p w14:paraId="63C304D0" w14:textId="77777777" w:rsidR="005E001D" w:rsidRPr="00F704FA" w:rsidRDefault="00944585" w:rsidP="00F704FA">
      <w:pPr>
        <w:pStyle w:val="21"/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区别在于有没有明确的字段和组织规则</w:t>
      </w:r>
    </w:p>
    <w:p w14:paraId="4B9C8B16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color w:val="00B050"/>
          <w:lang w:eastAsia="zh-CN"/>
        </w:rPr>
        <w:t>结构化数据通常有固定字段、清楚的字段类型与记录关系，便于查询、统计和合并</w:t>
      </w:r>
      <w:r w:rsidRPr="00F704FA">
        <w:rPr>
          <w:rFonts w:ascii="Times New Roman" w:eastAsia="楷体" w:hAnsi="Times New Roman"/>
          <w:lang w:eastAsia="zh-CN"/>
        </w:rPr>
        <w:t>。非结构化数据通常没有直接对应某个分析任务的固定字段，例如自由文本和照片；这并不意味着它们毫无内部结构。</w:t>
      </w:r>
    </w:p>
    <w:p w14:paraId="4F909791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color w:val="00B050"/>
          <w:lang w:eastAsia="zh-CN"/>
        </w:rPr>
        <w:t>半结构化数据介于两者之间：通过键、标签或层级表达关系，但不同记录的字段可以不同</w:t>
      </w:r>
      <w:r w:rsidRPr="00F704FA">
        <w:rPr>
          <w:rFonts w:ascii="Times New Roman" w:eastAsia="楷体" w:hAnsi="Times New Roman"/>
          <w:lang w:eastAsia="zh-CN"/>
        </w:rPr>
        <w:t>，例如</w:t>
      </w:r>
      <w:r w:rsidRPr="00F704FA">
        <w:rPr>
          <w:rFonts w:ascii="Times New Roman" w:eastAsia="楷体" w:hAnsi="Times New Roman"/>
          <w:lang w:eastAsia="zh-CN"/>
        </w:rPr>
        <w:t xml:space="preserve"> JSON</w:t>
      </w:r>
      <w:r w:rsidRPr="00F704FA">
        <w:rPr>
          <w:rFonts w:ascii="Times New Roman" w:eastAsia="楷体" w:hAnsi="Times New Roman"/>
          <w:lang w:eastAsia="zh-CN"/>
        </w:rPr>
        <w:t>、</w:t>
      </w:r>
      <w:r w:rsidRPr="00F704FA">
        <w:rPr>
          <w:rFonts w:ascii="Times New Roman" w:eastAsia="楷体" w:hAnsi="Times New Roman"/>
          <w:lang w:eastAsia="zh-CN"/>
        </w:rPr>
        <w:t>XML</w:t>
      </w:r>
      <w:r w:rsidRPr="00F704FA">
        <w:rPr>
          <w:rFonts w:ascii="Times New Roman" w:eastAsia="楷体" w:hAnsi="Times New Roman"/>
          <w:lang w:eastAsia="zh-CN"/>
        </w:rPr>
        <w:t>。不要仅凭文件后缀判断结构化程度。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4320"/>
      </w:tblGrid>
      <w:tr w:rsidR="005E001D" w:rsidRPr="00F704FA" w14:paraId="2FA7AB5B" w14:textId="77777777">
        <w:trPr>
          <w:cantSplit/>
          <w:tblHeader/>
          <w:jc w:val="center"/>
        </w:trPr>
        <w:tc>
          <w:tcPr>
            <w:tcW w:w="2880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1387F0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b/>
                <w:sz w:val="21"/>
              </w:rPr>
              <w:t>科研资料</w:t>
            </w:r>
          </w:p>
        </w:tc>
        <w:tc>
          <w:tcPr>
            <w:tcW w:w="2880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530276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b/>
                <w:sz w:val="21"/>
              </w:rPr>
              <w:t>通常如何归类</w:t>
            </w:r>
          </w:p>
        </w:tc>
        <w:tc>
          <w:tcPr>
            <w:tcW w:w="4320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9267DE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b/>
                <w:sz w:val="21"/>
                <w:lang w:eastAsia="zh-CN"/>
              </w:rPr>
              <w:t>转为可分析数据的关键</w:t>
            </w:r>
          </w:p>
        </w:tc>
      </w:tr>
      <w:tr w:rsidR="005E001D" w:rsidRPr="00F704FA" w14:paraId="4DD56BBD" w14:textId="77777777">
        <w:trPr>
          <w:cantSplit/>
          <w:jc w:val="center"/>
        </w:trPr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6597B3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逐次实验条件与收率表</w:t>
            </w:r>
          </w:p>
        </w:tc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799F78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结构化</w:t>
            </w:r>
          </w:p>
        </w:tc>
        <w:tc>
          <w:tcPr>
            <w:tcW w:w="43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E79896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一行一次实验；单位明确；同一列含义一致。</w:t>
            </w:r>
          </w:p>
        </w:tc>
      </w:tr>
      <w:tr w:rsidR="005E001D" w:rsidRPr="00F704FA" w14:paraId="00F41D95" w14:textId="77777777">
        <w:trPr>
          <w:cantSplit/>
          <w:jc w:val="center"/>
        </w:trPr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9302D0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UV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、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PL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、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 xml:space="preserve">GPC 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的数值导出文件</w:t>
            </w:r>
          </w:p>
        </w:tc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DF8E2D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有明确列定义时属结构化</w:t>
            </w:r>
          </w:p>
        </w:tc>
        <w:tc>
          <w:tcPr>
            <w:tcW w:w="43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5E190F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保存横纵坐标及单位，并关联样品与测试条件。</w:t>
            </w:r>
          </w:p>
        </w:tc>
      </w:tr>
      <w:tr w:rsidR="005E001D" w:rsidRPr="00F704FA" w14:paraId="402B8003" w14:textId="77777777">
        <w:trPr>
          <w:cantSplit/>
          <w:jc w:val="center"/>
        </w:trPr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1F9B65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光谱截图、显微照片、薄膜照片</w:t>
            </w:r>
          </w:p>
        </w:tc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99495C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针对常见表格分析属非结构化</w:t>
            </w:r>
          </w:p>
        </w:tc>
        <w:tc>
          <w:tcPr>
            <w:tcW w:w="43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A02154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保留原始文件；补充拍摄条件、标尺和样品编号。</w:t>
            </w:r>
          </w:p>
        </w:tc>
      </w:tr>
      <w:tr w:rsidR="005E001D" w:rsidRPr="00F704FA" w14:paraId="5019ADDF" w14:textId="77777777">
        <w:trPr>
          <w:cantSplit/>
          <w:jc w:val="center"/>
        </w:trPr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DACD87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自由书写的实验记录、论文正文</w:t>
            </w:r>
          </w:p>
        </w:tc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0B9719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非结构化</w:t>
            </w:r>
          </w:p>
        </w:tc>
        <w:tc>
          <w:tcPr>
            <w:tcW w:w="43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B078DE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提取样品、条件和结果；保留原文便于核对。</w:t>
            </w:r>
          </w:p>
        </w:tc>
      </w:tr>
      <w:tr w:rsidR="005E001D" w:rsidRPr="00F704FA" w14:paraId="299DD651" w14:textId="77777777">
        <w:trPr>
          <w:cantSplit/>
          <w:jc w:val="center"/>
        </w:trPr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3019F5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带命名字段的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 xml:space="preserve"> JSON 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仪器记录</w:t>
            </w:r>
          </w:p>
        </w:tc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608C98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733404">
              <w:rPr>
                <w:rFonts w:ascii="Times New Roman" w:eastAsia="楷体" w:hAnsi="Times New Roman"/>
                <w:color w:val="00B050"/>
                <w:sz w:val="21"/>
              </w:rPr>
              <w:t>半结构化</w:t>
            </w:r>
          </w:p>
        </w:tc>
        <w:tc>
          <w:tcPr>
            <w:tcW w:w="43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FE6CB9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说明每个字段含义、单位、允许值及缺失规则。</w:t>
            </w:r>
          </w:p>
        </w:tc>
      </w:tr>
      <w:tr w:rsidR="005E001D" w:rsidRPr="00F704FA" w14:paraId="22E9C64B" w14:textId="77777777">
        <w:trPr>
          <w:cantSplit/>
          <w:jc w:val="center"/>
        </w:trPr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33A47D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分子连接表、规范的结构文件</w:t>
            </w:r>
          </w:p>
        </w:tc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3A18B2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有明确结构规则的化学数据</w:t>
            </w:r>
          </w:p>
        </w:tc>
        <w:tc>
          <w:tcPr>
            <w:tcW w:w="43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D20A80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明确结构身份、立体信息，并与实验记录对应。</w:t>
            </w:r>
          </w:p>
        </w:tc>
      </w:tr>
    </w:tbl>
    <w:p w14:paraId="7D68E40A" w14:textId="77777777" w:rsidR="005E001D" w:rsidRPr="00F704FA" w:rsidRDefault="005E001D" w:rsidP="00F704FA">
      <w:pPr>
        <w:spacing w:after="0"/>
        <w:jc w:val="both"/>
        <w:rPr>
          <w:rFonts w:ascii="Times New Roman" w:eastAsia="楷体" w:hAnsi="Times New Roman"/>
          <w:lang w:eastAsia="zh-CN"/>
        </w:rPr>
      </w:pPr>
    </w:p>
    <w:p w14:paraId="3C0147B3" w14:textId="77777777" w:rsidR="005E001D" w:rsidRPr="00F704FA" w:rsidRDefault="00944585" w:rsidP="00F704FA">
      <w:pPr>
        <w:pStyle w:val="21"/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一个实验如何整理成一条记录</w:t>
      </w:r>
    </w:p>
    <w:p w14:paraId="18285F71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733404">
        <w:rPr>
          <w:rFonts w:ascii="Times New Roman" w:eastAsia="楷体" w:hAnsi="Times New Roman"/>
          <w:color w:val="00B050"/>
          <w:lang w:eastAsia="zh-CN"/>
        </w:rPr>
        <w:t>建议每次独立实验有唯一编号</w:t>
      </w:r>
      <w:r w:rsidRPr="00F704FA">
        <w:rPr>
          <w:rFonts w:ascii="Times New Roman" w:eastAsia="楷体" w:hAnsi="Times New Roman"/>
          <w:lang w:eastAsia="zh-CN"/>
        </w:rPr>
        <w:t>，并用它连接条件表、原始光谱与处理结果。一次实验可以对应多份文件，不必把所有内容强行塞进一个单元格。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656"/>
        <w:gridCol w:w="2088"/>
        <w:gridCol w:w="2016"/>
        <w:gridCol w:w="2592"/>
      </w:tblGrid>
      <w:tr w:rsidR="005E001D" w:rsidRPr="00F704FA" w14:paraId="5B174A84" w14:textId="77777777">
        <w:trPr>
          <w:cantSplit/>
          <w:tblHeader/>
          <w:jc w:val="center"/>
        </w:trPr>
        <w:tc>
          <w:tcPr>
            <w:tcW w:w="1728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E23B7B" w14:textId="77777777" w:rsidR="005E001D" w:rsidRPr="00F704FA" w:rsidRDefault="00944585" w:rsidP="00733404">
            <w:pPr>
              <w:spacing w:after="0" w:line="280" w:lineRule="exact"/>
              <w:jc w:val="center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b/>
                <w:sz w:val="21"/>
              </w:rPr>
              <w:t>实验编号</w:t>
            </w:r>
          </w:p>
        </w:tc>
        <w:tc>
          <w:tcPr>
            <w:tcW w:w="1656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10B7D4" w14:textId="77777777" w:rsidR="005E001D" w:rsidRPr="00F704FA" w:rsidRDefault="00944585" w:rsidP="00733404">
            <w:pPr>
              <w:spacing w:after="0" w:line="280" w:lineRule="exact"/>
              <w:jc w:val="center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b/>
                <w:sz w:val="21"/>
              </w:rPr>
              <w:t>溶剂</w:t>
            </w:r>
          </w:p>
        </w:tc>
        <w:tc>
          <w:tcPr>
            <w:tcW w:w="2088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68E0D5" w14:textId="77777777" w:rsidR="005E001D" w:rsidRPr="00F704FA" w:rsidRDefault="00944585" w:rsidP="00733404">
            <w:pPr>
              <w:spacing w:after="0" w:line="280" w:lineRule="exact"/>
              <w:jc w:val="center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b/>
                <w:sz w:val="21"/>
              </w:rPr>
              <w:t>温度</w:t>
            </w:r>
            <w:r w:rsidRPr="00F704FA">
              <w:rPr>
                <w:rFonts w:ascii="Times New Roman" w:eastAsia="楷体" w:hAnsi="Times New Roman"/>
                <w:b/>
                <w:sz w:val="21"/>
              </w:rPr>
              <w:t xml:space="preserve"> / ℃</w:t>
            </w:r>
          </w:p>
        </w:tc>
        <w:tc>
          <w:tcPr>
            <w:tcW w:w="2016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863AA5" w14:textId="77777777" w:rsidR="005E001D" w:rsidRPr="00F704FA" w:rsidRDefault="00944585" w:rsidP="00733404">
            <w:pPr>
              <w:spacing w:after="0" w:line="280" w:lineRule="exact"/>
              <w:jc w:val="center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b/>
                <w:sz w:val="21"/>
              </w:rPr>
              <w:t>时间</w:t>
            </w:r>
            <w:r w:rsidRPr="00F704FA">
              <w:rPr>
                <w:rFonts w:ascii="Times New Roman" w:eastAsia="楷体" w:hAnsi="Times New Roman"/>
                <w:b/>
                <w:sz w:val="21"/>
              </w:rPr>
              <w:t xml:space="preserve"> / h</w:t>
            </w:r>
          </w:p>
        </w:tc>
        <w:tc>
          <w:tcPr>
            <w:tcW w:w="2592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84C21B" w14:textId="77777777" w:rsidR="005E001D" w:rsidRPr="00F704FA" w:rsidRDefault="00944585" w:rsidP="00733404">
            <w:pPr>
              <w:spacing w:after="0" w:line="280" w:lineRule="exact"/>
              <w:jc w:val="center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b/>
                <w:sz w:val="21"/>
              </w:rPr>
              <w:t>分离收率</w:t>
            </w:r>
            <w:r w:rsidRPr="00F704FA">
              <w:rPr>
                <w:rFonts w:ascii="Times New Roman" w:eastAsia="楷体" w:hAnsi="Times New Roman"/>
                <w:b/>
                <w:sz w:val="21"/>
              </w:rPr>
              <w:t xml:space="preserve"> / %</w:t>
            </w:r>
          </w:p>
        </w:tc>
      </w:tr>
      <w:tr w:rsidR="005E001D" w:rsidRPr="00F704FA" w14:paraId="733493E6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929973" w14:textId="77777777" w:rsidR="005E001D" w:rsidRPr="00F704FA" w:rsidRDefault="00944585" w:rsidP="00733404">
            <w:pPr>
              <w:spacing w:after="0" w:line="280" w:lineRule="exact"/>
              <w:jc w:val="center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R001</w:t>
            </w:r>
          </w:p>
        </w:tc>
        <w:tc>
          <w:tcPr>
            <w:tcW w:w="16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158F0B" w14:textId="77777777" w:rsidR="005E001D" w:rsidRPr="00F704FA" w:rsidRDefault="00944585" w:rsidP="00733404">
            <w:pPr>
              <w:spacing w:after="0" w:line="280" w:lineRule="exact"/>
              <w:jc w:val="center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THF</w:t>
            </w:r>
          </w:p>
        </w:tc>
        <w:tc>
          <w:tcPr>
            <w:tcW w:w="208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1D70A9" w14:textId="77777777" w:rsidR="005E001D" w:rsidRPr="00F704FA" w:rsidRDefault="00944585" w:rsidP="00733404">
            <w:pPr>
              <w:spacing w:after="0" w:line="280" w:lineRule="exact"/>
              <w:jc w:val="center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25</w:t>
            </w:r>
          </w:p>
        </w:tc>
        <w:tc>
          <w:tcPr>
            <w:tcW w:w="20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77F129" w14:textId="77777777" w:rsidR="005E001D" w:rsidRPr="00F704FA" w:rsidRDefault="00944585" w:rsidP="00733404">
            <w:pPr>
              <w:spacing w:after="0" w:line="280" w:lineRule="exact"/>
              <w:jc w:val="center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12</w:t>
            </w:r>
          </w:p>
        </w:tc>
        <w:tc>
          <w:tcPr>
            <w:tcW w:w="259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6BB611" w14:textId="77777777" w:rsidR="005E001D" w:rsidRPr="00F704FA" w:rsidRDefault="00944585" w:rsidP="00733404">
            <w:pPr>
              <w:spacing w:after="0" w:line="280" w:lineRule="exact"/>
              <w:jc w:val="center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42</w:t>
            </w:r>
          </w:p>
        </w:tc>
      </w:tr>
      <w:tr w:rsidR="005E001D" w:rsidRPr="00F704FA" w14:paraId="3448CFE7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1AC3B5" w14:textId="77777777" w:rsidR="005E001D" w:rsidRPr="00F704FA" w:rsidRDefault="00944585" w:rsidP="00733404">
            <w:pPr>
              <w:spacing w:after="0" w:line="280" w:lineRule="exact"/>
              <w:jc w:val="center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R002</w:t>
            </w:r>
          </w:p>
        </w:tc>
        <w:tc>
          <w:tcPr>
            <w:tcW w:w="16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D2D8FB" w14:textId="77777777" w:rsidR="005E001D" w:rsidRPr="00F704FA" w:rsidRDefault="00944585" w:rsidP="00733404">
            <w:pPr>
              <w:spacing w:after="0" w:line="280" w:lineRule="exact"/>
              <w:jc w:val="center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THF</w:t>
            </w:r>
          </w:p>
        </w:tc>
        <w:tc>
          <w:tcPr>
            <w:tcW w:w="208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DB1A68" w14:textId="77777777" w:rsidR="005E001D" w:rsidRPr="00F704FA" w:rsidRDefault="00944585" w:rsidP="00733404">
            <w:pPr>
              <w:spacing w:after="0" w:line="280" w:lineRule="exact"/>
              <w:jc w:val="center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50</w:t>
            </w:r>
          </w:p>
        </w:tc>
        <w:tc>
          <w:tcPr>
            <w:tcW w:w="20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90E020" w14:textId="77777777" w:rsidR="005E001D" w:rsidRPr="00F704FA" w:rsidRDefault="00944585" w:rsidP="00733404">
            <w:pPr>
              <w:spacing w:after="0" w:line="280" w:lineRule="exact"/>
              <w:jc w:val="center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12</w:t>
            </w:r>
          </w:p>
        </w:tc>
        <w:tc>
          <w:tcPr>
            <w:tcW w:w="259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F2E505" w14:textId="77777777" w:rsidR="005E001D" w:rsidRPr="00F704FA" w:rsidRDefault="00944585" w:rsidP="00733404">
            <w:pPr>
              <w:spacing w:after="0" w:line="280" w:lineRule="exact"/>
              <w:jc w:val="center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68</w:t>
            </w:r>
          </w:p>
        </w:tc>
      </w:tr>
    </w:tbl>
    <w:p w14:paraId="685C97A6" w14:textId="77777777" w:rsidR="005E001D" w:rsidRPr="00F704FA" w:rsidRDefault="005E001D" w:rsidP="00F704FA">
      <w:pPr>
        <w:spacing w:after="0"/>
        <w:jc w:val="both"/>
        <w:rPr>
          <w:rFonts w:ascii="Times New Roman" w:eastAsia="楷体" w:hAnsi="Times New Roman"/>
        </w:rPr>
      </w:pPr>
    </w:p>
    <w:p w14:paraId="4332A720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上表为简化的假设示例。实际记录还需底物结构、投料量、浓度、催化剂、气氛、批次及原始文件位置。</w:t>
      </w:r>
      <w:r w:rsidRPr="00733404">
        <w:rPr>
          <w:rFonts w:ascii="Times New Roman" w:eastAsia="楷体" w:hAnsi="Times New Roman"/>
          <w:color w:val="00B050"/>
          <w:lang w:eastAsia="zh-CN"/>
        </w:rPr>
        <w:t>未测收率应记为</w:t>
      </w:r>
      <w:r w:rsidRPr="00733404">
        <w:rPr>
          <w:rFonts w:ascii="Times New Roman" w:eastAsia="楷体" w:hAnsi="Times New Roman"/>
          <w:color w:val="00B050"/>
          <w:lang w:eastAsia="zh-CN"/>
        </w:rPr>
        <w:t>“</w:t>
      </w:r>
      <w:r w:rsidRPr="00733404">
        <w:rPr>
          <w:rFonts w:ascii="Times New Roman" w:eastAsia="楷体" w:hAnsi="Times New Roman"/>
          <w:color w:val="00B050"/>
          <w:lang w:eastAsia="zh-CN"/>
        </w:rPr>
        <w:t>未测</w:t>
      </w:r>
      <w:r w:rsidRPr="00733404">
        <w:rPr>
          <w:rFonts w:ascii="Times New Roman" w:eastAsia="楷体" w:hAnsi="Times New Roman"/>
          <w:color w:val="00B050"/>
          <w:lang w:eastAsia="zh-CN"/>
        </w:rPr>
        <w:t>”</w:t>
      </w:r>
      <w:r w:rsidRPr="00733404">
        <w:rPr>
          <w:rFonts w:ascii="Times New Roman" w:eastAsia="楷体" w:hAnsi="Times New Roman"/>
          <w:color w:val="00B050"/>
          <w:lang w:eastAsia="zh-CN"/>
        </w:rPr>
        <w:t>，不能填</w:t>
      </w:r>
      <w:r w:rsidRPr="00733404">
        <w:rPr>
          <w:rFonts w:ascii="Times New Roman" w:eastAsia="楷体" w:hAnsi="Times New Roman"/>
          <w:color w:val="00B050"/>
          <w:lang w:eastAsia="zh-CN"/>
        </w:rPr>
        <w:t xml:space="preserve"> 0</w:t>
      </w:r>
      <w:r w:rsidRPr="00733404">
        <w:rPr>
          <w:rFonts w:ascii="Times New Roman" w:eastAsia="楷体" w:hAnsi="Times New Roman"/>
          <w:color w:val="00B050"/>
          <w:lang w:eastAsia="zh-CN"/>
        </w:rPr>
        <w:t>；</w:t>
      </w:r>
      <w:r w:rsidRPr="00733404">
        <w:rPr>
          <w:rFonts w:ascii="Times New Roman" w:eastAsia="楷体" w:hAnsi="Times New Roman"/>
          <w:color w:val="00B050"/>
          <w:lang w:eastAsia="zh-CN"/>
        </w:rPr>
        <w:t xml:space="preserve">0% </w:t>
      </w:r>
      <w:r w:rsidRPr="00733404">
        <w:rPr>
          <w:rFonts w:ascii="Times New Roman" w:eastAsia="楷体" w:hAnsi="Times New Roman"/>
          <w:color w:val="00B050"/>
          <w:lang w:eastAsia="zh-CN"/>
        </w:rPr>
        <w:t>表示测量结果，和缺失值不是一回事</w:t>
      </w:r>
      <w:r w:rsidRPr="00F704FA">
        <w:rPr>
          <w:rFonts w:ascii="Times New Roman" w:eastAsia="楷体" w:hAnsi="Times New Roman"/>
          <w:lang w:eastAsia="zh-CN"/>
        </w:rPr>
        <w:t>。</w:t>
      </w:r>
    </w:p>
    <w:p w14:paraId="09425F14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整理原则：一列一种含义；单位统一；尽量不合并单元格；样品编号保持一致。</w:t>
      </w:r>
      <w:r w:rsidRPr="00F704FA">
        <w:rPr>
          <w:rFonts w:ascii="Times New Roman" w:eastAsia="楷体" w:hAnsi="Times New Roman"/>
          <w:lang w:eastAsia="zh-CN"/>
        </w:rPr>
        <w:t xml:space="preserve">Excel </w:t>
      </w:r>
      <w:r w:rsidRPr="00F704FA">
        <w:rPr>
          <w:rFonts w:ascii="Times New Roman" w:eastAsia="楷体" w:hAnsi="Times New Roman"/>
          <w:lang w:eastAsia="zh-CN"/>
        </w:rPr>
        <w:t>中粘满截图，不会因此成为可直接统计的实验数据库。</w:t>
      </w:r>
    </w:p>
    <w:p w14:paraId="6BB93DFC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br w:type="page"/>
      </w:r>
    </w:p>
    <w:p w14:paraId="3C8BDD77" w14:textId="77777777" w:rsidR="005E001D" w:rsidRPr="00F704FA" w:rsidRDefault="00944585" w:rsidP="00F704FA">
      <w:pPr>
        <w:pStyle w:val="1"/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 xml:space="preserve">04 </w:t>
      </w:r>
      <w:r w:rsidRPr="00F704FA">
        <w:rPr>
          <w:rFonts w:ascii="Times New Roman" w:eastAsia="楷体" w:hAnsi="Times New Roman"/>
          <w:lang w:eastAsia="zh-CN"/>
        </w:rPr>
        <w:t>什么样的数据算好数据</w:t>
      </w:r>
    </w:p>
    <w:p w14:paraId="5CBBEDE1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733404">
        <w:rPr>
          <w:rFonts w:ascii="Times New Roman" w:eastAsia="楷体" w:hAnsi="Times New Roman"/>
          <w:color w:val="00B050"/>
          <w:lang w:eastAsia="zh-CN"/>
        </w:rPr>
        <w:t>好数据首先要适合具体任务</w:t>
      </w:r>
      <w:r w:rsidRPr="00F704FA">
        <w:rPr>
          <w:rFonts w:ascii="Times New Roman" w:eastAsia="楷体" w:hAnsi="Times New Roman"/>
          <w:lang w:eastAsia="zh-CN"/>
        </w:rPr>
        <w:t>。对观察峰位趋势足够的数据，不一定足以比较绝对发光强度；一份排版漂亮的表，也可能隐藏条件缺失和选择性记录。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096"/>
        <w:gridCol w:w="5184"/>
      </w:tblGrid>
      <w:tr w:rsidR="005E001D" w:rsidRPr="00F704FA" w14:paraId="2C66A936" w14:textId="77777777">
        <w:trPr>
          <w:cantSplit/>
          <w:tblHeader/>
          <w:jc w:val="center"/>
        </w:trPr>
        <w:tc>
          <w:tcPr>
            <w:tcW w:w="1800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A1ADCD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b/>
                <w:sz w:val="21"/>
              </w:rPr>
              <w:t>判断标准</w:t>
            </w:r>
          </w:p>
        </w:tc>
        <w:tc>
          <w:tcPr>
            <w:tcW w:w="3096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955BE0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b/>
                <w:sz w:val="21"/>
              </w:rPr>
              <w:t>通俗解释</w:t>
            </w:r>
          </w:p>
        </w:tc>
        <w:tc>
          <w:tcPr>
            <w:tcW w:w="5184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F28861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b/>
                <w:sz w:val="21"/>
              </w:rPr>
              <w:t>科研中怎么检查</w:t>
            </w:r>
          </w:p>
        </w:tc>
      </w:tr>
      <w:tr w:rsidR="005E001D" w:rsidRPr="00F704FA" w14:paraId="547BC31C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764A64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准确可信</w:t>
            </w:r>
          </w:p>
        </w:tc>
        <w:tc>
          <w:tcPr>
            <w:tcW w:w="30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10CCFF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测量与记录尽量反映真实情况。</w:t>
            </w:r>
          </w:p>
        </w:tc>
        <w:tc>
          <w:tcPr>
            <w:tcW w:w="51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95376B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仪器是否校准？单位或抄录有无错误？保留原始记录了吗？</w:t>
            </w:r>
          </w:p>
        </w:tc>
      </w:tr>
      <w:tr w:rsidR="005E001D" w:rsidRPr="00F704FA" w14:paraId="48732B90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F8EEB4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关键内容完整</w:t>
            </w:r>
          </w:p>
        </w:tc>
        <w:tc>
          <w:tcPr>
            <w:tcW w:w="30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EA330D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解释结果需要的条件和结果都有交代。</w:t>
            </w:r>
          </w:p>
        </w:tc>
        <w:tc>
          <w:tcPr>
            <w:tcW w:w="51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B55462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样品身份、浓度、状态、测量方法是否齐全？</w:t>
            </w:r>
          </w:p>
        </w:tc>
      </w:tr>
      <w:tr w:rsidR="005E001D" w:rsidRPr="00F704FA" w14:paraId="7B29417D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5B05D0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一致可比较</w:t>
            </w:r>
          </w:p>
        </w:tc>
        <w:tc>
          <w:tcPr>
            <w:tcW w:w="30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FAAF84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733404">
              <w:rPr>
                <w:rFonts w:ascii="Times New Roman" w:eastAsia="楷体" w:hAnsi="Times New Roman"/>
                <w:color w:val="00B050"/>
                <w:sz w:val="21"/>
                <w:lang w:eastAsia="zh-CN"/>
              </w:rPr>
              <w:t>同一字段含义一致，方法差异可识别。</w:t>
            </w:r>
          </w:p>
        </w:tc>
        <w:tc>
          <w:tcPr>
            <w:tcW w:w="51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2C2236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分离收率与核磁收率是否区分？溶液和薄膜是否混在一起？</w:t>
            </w:r>
          </w:p>
        </w:tc>
      </w:tr>
      <w:tr w:rsidR="005E001D" w:rsidRPr="00F704FA" w14:paraId="684061E6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C24A5F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覆盖目标范围</w:t>
            </w:r>
          </w:p>
        </w:tc>
        <w:tc>
          <w:tcPr>
            <w:tcW w:w="30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AC295A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包含将来要预测的对象和变化。</w:t>
            </w:r>
          </w:p>
        </w:tc>
        <w:tc>
          <w:tcPr>
            <w:tcW w:w="51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BB51DC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是否只测一种底物、一种溶剂或全是高收率实验？</w:t>
            </w:r>
          </w:p>
        </w:tc>
      </w:tr>
      <w:tr w:rsidR="005E001D" w:rsidRPr="00F704FA" w14:paraId="3C9290F5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F8B3DD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可追溯可复核</w:t>
            </w:r>
          </w:p>
        </w:tc>
        <w:tc>
          <w:tcPr>
            <w:tcW w:w="30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18C9B3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能查到来源、处理过程和版本。</w:t>
            </w:r>
          </w:p>
        </w:tc>
        <w:tc>
          <w:tcPr>
            <w:tcW w:w="51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FEBC81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哪个批次、谁测的、怎样扣背景、是否删除过点？</w:t>
            </w:r>
          </w:p>
        </w:tc>
      </w:tr>
      <w:tr w:rsidR="005E001D" w:rsidRPr="00F704FA" w14:paraId="4462C43E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CFD6A7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不确定性明确</w:t>
            </w:r>
          </w:p>
        </w:tc>
        <w:tc>
          <w:tcPr>
            <w:tcW w:w="30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6AA1BC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知道测量有多稳定、哪里未知。</w:t>
            </w:r>
          </w:p>
        </w:tc>
        <w:tc>
          <w:tcPr>
            <w:tcW w:w="51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CB4D56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记录独立重复、误差与检测限；区分未测和未检出。</w:t>
            </w:r>
          </w:p>
        </w:tc>
      </w:tr>
      <w:tr w:rsidR="005E001D" w:rsidRPr="00F704FA" w14:paraId="560C6995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0F5CDC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可读取可复用</w:t>
            </w:r>
          </w:p>
        </w:tc>
        <w:tc>
          <w:tcPr>
            <w:tcW w:w="30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6A31B3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他人或程序能理解并继续分析。</w:t>
            </w:r>
          </w:p>
        </w:tc>
        <w:tc>
          <w:tcPr>
            <w:tcW w:w="51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016855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能否获得原始数值、字段说明、通用格式和使用条件？</w:t>
            </w:r>
          </w:p>
        </w:tc>
      </w:tr>
    </w:tbl>
    <w:p w14:paraId="353B57C4" w14:textId="77777777" w:rsidR="005E001D" w:rsidRPr="00F704FA" w:rsidRDefault="005E001D" w:rsidP="00F704FA">
      <w:pPr>
        <w:spacing w:after="0"/>
        <w:jc w:val="both"/>
        <w:rPr>
          <w:rFonts w:ascii="Times New Roman" w:eastAsia="楷体" w:hAnsi="Times New Roman"/>
          <w:lang w:eastAsia="zh-CN"/>
        </w:rPr>
      </w:pPr>
    </w:p>
    <w:p w14:paraId="40A2BD7D" w14:textId="77777777" w:rsidR="005E001D" w:rsidRPr="00733404" w:rsidRDefault="00944585" w:rsidP="00F704FA">
      <w:pPr>
        <w:pStyle w:val="21"/>
        <w:jc w:val="both"/>
        <w:rPr>
          <w:rFonts w:ascii="Times New Roman" w:eastAsia="楷体" w:hAnsi="Times New Roman"/>
          <w:color w:val="00B050"/>
          <w:lang w:eastAsia="zh-CN"/>
        </w:rPr>
      </w:pPr>
      <w:r w:rsidRPr="00733404">
        <w:rPr>
          <w:rFonts w:ascii="Times New Roman" w:eastAsia="楷体" w:hAnsi="Times New Roman"/>
          <w:color w:val="00B050"/>
          <w:lang w:eastAsia="zh-CN"/>
        </w:rPr>
        <w:t>元数据是在说明数据的来龙去脉</w:t>
      </w:r>
    </w:p>
    <w:p w14:paraId="3E4C4298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例如，</w:t>
      </w:r>
      <w:r w:rsidRPr="00F704FA">
        <w:rPr>
          <w:rFonts w:ascii="Times New Roman" w:eastAsia="楷体" w:hAnsi="Times New Roman"/>
          <w:lang w:eastAsia="zh-CN"/>
        </w:rPr>
        <w:t>“</w:t>
      </w:r>
      <w:r w:rsidRPr="00F704FA">
        <w:rPr>
          <w:rFonts w:ascii="Times New Roman" w:eastAsia="楷体" w:hAnsi="Times New Roman"/>
          <w:lang w:eastAsia="zh-CN"/>
        </w:rPr>
        <w:t>发射峰</w:t>
      </w:r>
      <w:r w:rsidRPr="00F704FA">
        <w:rPr>
          <w:rFonts w:ascii="Times New Roman" w:eastAsia="楷体" w:hAnsi="Times New Roman"/>
          <w:lang w:eastAsia="zh-CN"/>
        </w:rPr>
        <w:t xml:space="preserve"> 480 nm”</w:t>
      </w:r>
      <w:r w:rsidRPr="00F704FA">
        <w:rPr>
          <w:rFonts w:ascii="Times New Roman" w:eastAsia="楷体" w:hAnsi="Times New Roman"/>
          <w:lang w:eastAsia="zh-CN"/>
        </w:rPr>
        <w:t>是结果；样品编号、溶剂、浓度、激发波长、狭缝、温度、日期和处理方法，是帮助解释结果的元数据。没有这些说明，两个</w:t>
      </w:r>
      <w:r w:rsidRPr="00F704FA">
        <w:rPr>
          <w:rFonts w:ascii="Times New Roman" w:eastAsia="楷体" w:hAnsi="Times New Roman"/>
          <w:lang w:eastAsia="zh-CN"/>
        </w:rPr>
        <w:t xml:space="preserve"> 480 nm </w:t>
      </w:r>
      <w:r w:rsidRPr="00F704FA">
        <w:rPr>
          <w:rFonts w:ascii="Times New Roman" w:eastAsia="楷体" w:hAnsi="Times New Roman"/>
          <w:lang w:eastAsia="zh-CN"/>
        </w:rPr>
        <w:t>也未必可直接比较。</w:t>
      </w:r>
    </w:p>
    <w:p w14:paraId="0EA3A76D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科研数据管理中常用</w:t>
      </w:r>
      <w:r w:rsidRPr="00F704FA">
        <w:rPr>
          <w:rFonts w:ascii="Times New Roman" w:eastAsia="楷体" w:hAnsi="Times New Roman"/>
          <w:lang w:eastAsia="zh-CN"/>
        </w:rPr>
        <w:t xml:space="preserve"> FAIR </w:t>
      </w:r>
      <w:r w:rsidRPr="00F704FA">
        <w:rPr>
          <w:rFonts w:ascii="Times New Roman" w:eastAsia="楷体" w:hAnsi="Times New Roman"/>
          <w:lang w:eastAsia="zh-CN"/>
        </w:rPr>
        <w:t>原则：可发现、可访问、可互操作、可复用。它强调人和机器都能找到并理解数据；不等于全部免费公开，也不保证实验本身准确。</w:t>
      </w:r>
      <w:r w:rsidRPr="00733404">
        <w:rPr>
          <w:rFonts w:ascii="Times New Roman" w:eastAsia="楷体" w:hAnsi="Times New Roman"/>
          <w:vertAlign w:val="superscript"/>
          <w:lang w:eastAsia="zh-CN"/>
        </w:rPr>
        <w:t>[2]</w:t>
      </w:r>
    </w:p>
    <w:p w14:paraId="375AAAC8" w14:textId="77777777" w:rsidR="005E001D" w:rsidRPr="00F704FA" w:rsidRDefault="00944585" w:rsidP="00F704FA">
      <w:pPr>
        <w:pStyle w:val="21"/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数据多和数据好哪个更重要</w:t>
      </w:r>
    </w:p>
    <w:p w14:paraId="2C569E9D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733404">
        <w:rPr>
          <w:rFonts w:ascii="Times New Roman" w:eastAsia="楷体" w:hAnsi="Times New Roman"/>
          <w:color w:val="00B050"/>
          <w:lang w:eastAsia="zh-CN"/>
        </w:rPr>
        <w:t>先保证基本质量与任务相关性，再增加数量和覆盖范围</w:t>
      </w:r>
      <w:r w:rsidRPr="00F704FA">
        <w:rPr>
          <w:rFonts w:ascii="Times New Roman" w:eastAsia="楷体" w:hAnsi="Times New Roman"/>
          <w:lang w:eastAsia="zh-CN"/>
        </w:rPr>
        <w:t>。错误标注、系统性偏差和缺失条件不会因数量增加而自动消失；但少量高质量数据也可能覆盖不足，难以支持可靠预测。</w:t>
      </w:r>
    </w:p>
    <w:p w14:paraId="120FAC5A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假设有</w:t>
      </w:r>
      <w:r w:rsidRPr="00F704FA">
        <w:rPr>
          <w:rFonts w:ascii="Times New Roman" w:eastAsia="楷体" w:hAnsi="Times New Roman"/>
          <w:lang w:eastAsia="zh-CN"/>
        </w:rPr>
        <w:t xml:space="preserve"> 1,000 </w:t>
      </w:r>
      <w:r w:rsidRPr="00F704FA">
        <w:rPr>
          <w:rFonts w:ascii="Times New Roman" w:eastAsia="楷体" w:hAnsi="Times New Roman"/>
          <w:lang w:eastAsia="zh-CN"/>
        </w:rPr>
        <w:t>条记录来自同一底物、同一条件，而另外</w:t>
      </w:r>
      <w:r w:rsidRPr="00F704FA">
        <w:rPr>
          <w:rFonts w:ascii="Times New Roman" w:eastAsia="楷体" w:hAnsi="Times New Roman"/>
          <w:lang w:eastAsia="zh-CN"/>
        </w:rPr>
        <w:t xml:space="preserve"> 100 </w:t>
      </w:r>
      <w:r w:rsidRPr="00F704FA">
        <w:rPr>
          <w:rFonts w:ascii="Times New Roman" w:eastAsia="楷体" w:hAnsi="Times New Roman"/>
          <w:lang w:eastAsia="zh-CN"/>
        </w:rPr>
        <w:t>条记录覆盖不同底物和温度：前者适合估计该条件下的波动；后者可能更适合学习跨底物或跨温度的关系。不能脱离目标，仅凭条数判断价值。</w:t>
      </w:r>
    </w:p>
    <w:p w14:paraId="7E53BED3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讨论：把同一条数据复制</w:t>
      </w:r>
      <w:r w:rsidRPr="00F704FA">
        <w:rPr>
          <w:rFonts w:ascii="Times New Roman" w:eastAsia="楷体" w:hAnsi="Times New Roman"/>
          <w:lang w:eastAsia="zh-CN"/>
        </w:rPr>
        <w:t xml:space="preserve"> 100 </w:t>
      </w:r>
      <w:r w:rsidRPr="00F704FA">
        <w:rPr>
          <w:rFonts w:ascii="Times New Roman" w:eastAsia="楷体" w:hAnsi="Times New Roman"/>
          <w:lang w:eastAsia="zh-CN"/>
        </w:rPr>
        <w:t>次，与做</w:t>
      </w:r>
      <w:r w:rsidRPr="00F704FA">
        <w:rPr>
          <w:rFonts w:ascii="Times New Roman" w:eastAsia="楷体" w:hAnsi="Times New Roman"/>
          <w:lang w:eastAsia="zh-CN"/>
        </w:rPr>
        <w:t xml:space="preserve"> 100 </w:t>
      </w:r>
      <w:r w:rsidRPr="00F704FA">
        <w:rPr>
          <w:rFonts w:ascii="Times New Roman" w:eastAsia="楷体" w:hAnsi="Times New Roman"/>
          <w:lang w:eastAsia="zh-CN"/>
        </w:rPr>
        <w:t>次独立实验有什么区别？</w:t>
      </w:r>
      <w:r w:rsidRPr="00F704FA">
        <w:rPr>
          <w:rFonts w:ascii="Times New Roman" w:eastAsia="楷体" w:hAnsi="Times New Roman"/>
          <w:lang w:eastAsia="zh-CN"/>
        </w:rPr>
        <w:br/>
      </w:r>
      <w:r w:rsidRPr="00F704FA">
        <w:rPr>
          <w:rFonts w:ascii="Times New Roman" w:eastAsia="楷体" w:hAnsi="Times New Roman"/>
          <w:lang w:eastAsia="zh-CN"/>
        </w:rPr>
        <w:t>参考思路：复制不增加独立证据；独立重复可估计波动，但仍不一定扩大条件覆盖。</w:t>
      </w:r>
    </w:p>
    <w:p w14:paraId="6DCCA574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br w:type="page"/>
      </w:r>
    </w:p>
    <w:p w14:paraId="5EF43645" w14:textId="77777777" w:rsidR="005E001D" w:rsidRPr="00F704FA" w:rsidRDefault="00944585" w:rsidP="00F704FA">
      <w:pPr>
        <w:pStyle w:val="1"/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 xml:space="preserve">05 </w:t>
      </w:r>
      <w:r w:rsidRPr="00F704FA">
        <w:rPr>
          <w:rFonts w:ascii="Times New Roman" w:eastAsia="楷体" w:hAnsi="Times New Roman"/>
          <w:lang w:eastAsia="zh-CN"/>
        </w:rPr>
        <w:t>文献数据与机器学习的条件</w:t>
      </w:r>
    </w:p>
    <w:p w14:paraId="59D2DAE5" w14:textId="77777777" w:rsidR="005E001D" w:rsidRPr="00F704FA" w:rsidRDefault="00944585" w:rsidP="00F704FA">
      <w:pPr>
        <w:pStyle w:val="21"/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文献里的数据为什么经常不好用</w:t>
      </w:r>
    </w:p>
    <w:p w14:paraId="09245744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论文主要用于讲清研究结论，展示方式未必适合批量计算。在合成与材料研究中，常见障碍包括：</w:t>
      </w:r>
    </w:p>
    <w:p w14:paraId="7AA084F4" w14:textId="77777777" w:rsidR="00733404" w:rsidRDefault="00944585" w:rsidP="00F704FA">
      <w:pPr>
        <w:jc w:val="both"/>
        <w:rPr>
          <w:rFonts w:ascii="Times New Roman" w:eastAsia="楷体" w:hAnsi="Times New Roman"/>
          <w:color w:val="00B050"/>
          <w:lang w:eastAsia="zh-CN"/>
        </w:rPr>
      </w:pPr>
      <w:r w:rsidRPr="00733404">
        <w:rPr>
          <w:rFonts w:ascii="Cambria Math" w:eastAsia="楷体" w:hAnsi="Cambria Math" w:cs="Cambria Math"/>
          <w:color w:val="00B050"/>
          <w:lang w:eastAsia="zh-CN"/>
        </w:rPr>
        <w:t>①</w:t>
      </w:r>
      <w:r w:rsidRPr="00733404">
        <w:rPr>
          <w:rFonts w:ascii="Times New Roman" w:eastAsia="楷体" w:hAnsi="Times New Roman"/>
          <w:color w:val="00B050"/>
          <w:lang w:eastAsia="zh-CN"/>
        </w:rPr>
        <w:t xml:space="preserve"> </w:t>
      </w:r>
      <w:r w:rsidRPr="00733404">
        <w:rPr>
          <w:rFonts w:ascii="Times New Roman" w:eastAsia="楷体" w:hAnsi="Times New Roman"/>
          <w:color w:val="00B050"/>
          <w:lang w:eastAsia="zh-CN"/>
        </w:rPr>
        <w:t>数值散落在正文、图像和补充材料中，样品编号难以对应；</w:t>
      </w:r>
    </w:p>
    <w:p w14:paraId="1980ACE2" w14:textId="77777777" w:rsidR="00733404" w:rsidRDefault="00944585" w:rsidP="00F704FA">
      <w:pPr>
        <w:jc w:val="both"/>
        <w:rPr>
          <w:rFonts w:ascii="Times New Roman" w:eastAsia="楷体" w:hAnsi="Times New Roman"/>
          <w:color w:val="00B050"/>
          <w:lang w:eastAsia="zh-CN"/>
        </w:rPr>
      </w:pPr>
      <w:r w:rsidRPr="00733404">
        <w:rPr>
          <w:rFonts w:ascii="Cambria Math" w:eastAsia="楷体" w:hAnsi="Cambria Math" w:cs="Cambria Math"/>
          <w:color w:val="00B050"/>
          <w:lang w:eastAsia="zh-CN"/>
        </w:rPr>
        <w:t>②</w:t>
      </w:r>
      <w:r w:rsidRPr="00733404">
        <w:rPr>
          <w:rFonts w:ascii="Times New Roman" w:eastAsia="楷体" w:hAnsi="Times New Roman"/>
          <w:color w:val="00B050"/>
          <w:lang w:eastAsia="zh-CN"/>
        </w:rPr>
        <w:t xml:space="preserve"> </w:t>
      </w:r>
      <w:r w:rsidRPr="00733404">
        <w:rPr>
          <w:rFonts w:ascii="Times New Roman" w:eastAsia="楷体" w:hAnsi="Times New Roman"/>
          <w:color w:val="00B050"/>
          <w:lang w:eastAsia="zh-CN"/>
        </w:rPr>
        <w:t>缺少浓度、批次、测</w:t>
      </w:r>
      <w:r w:rsidRPr="00733404">
        <w:rPr>
          <w:rFonts w:ascii="Times New Roman" w:eastAsia="楷体" w:hAnsi="Times New Roman"/>
          <w:color w:val="00B050"/>
          <w:lang w:eastAsia="zh-CN"/>
        </w:rPr>
        <w:t>试设置等条件；</w:t>
      </w:r>
    </w:p>
    <w:p w14:paraId="3C99C3D2" w14:textId="77777777" w:rsidR="00733404" w:rsidRDefault="00944585" w:rsidP="00F704FA">
      <w:pPr>
        <w:jc w:val="both"/>
        <w:rPr>
          <w:rFonts w:ascii="Times New Roman" w:eastAsia="楷体" w:hAnsi="Times New Roman"/>
          <w:color w:val="00B050"/>
          <w:lang w:eastAsia="zh-CN"/>
        </w:rPr>
      </w:pPr>
      <w:r w:rsidRPr="00733404">
        <w:rPr>
          <w:rFonts w:ascii="Cambria Math" w:eastAsia="楷体" w:hAnsi="Cambria Math" w:cs="Cambria Math"/>
          <w:color w:val="00B050"/>
          <w:lang w:eastAsia="zh-CN"/>
        </w:rPr>
        <w:t>③</w:t>
      </w:r>
      <w:r w:rsidRPr="00733404">
        <w:rPr>
          <w:rFonts w:ascii="Times New Roman" w:eastAsia="楷体" w:hAnsi="Times New Roman"/>
          <w:color w:val="00B050"/>
          <w:lang w:eastAsia="zh-CN"/>
        </w:rPr>
        <w:t xml:space="preserve"> </w:t>
      </w:r>
      <w:r w:rsidRPr="00733404">
        <w:rPr>
          <w:rFonts w:ascii="Times New Roman" w:eastAsia="楷体" w:hAnsi="Times New Roman"/>
          <w:color w:val="00B050"/>
          <w:lang w:eastAsia="zh-CN"/>
        </w:rPr>
        <w:t>单位、收率定义或样品状态不同；</w:t>
      </w:r>
    </w:p>
    <w:p w14:paraId="21D84D64" w14:textId="77777777" w:rsidR="00733404" w:rsidRDefault="00944585" w:rsidP="00F704FA">
      <w:pPr>
        <w:jc w:val="both"/>
        <w:rPr>
          <w:rFonts w:ascii="Times New Roman" w:eastAsia="楷体" w:hAnsi="Times New Roman"/>
          <w:color w:val="00B050"/>
          <w:lang w:eastAsia="zh-CN"/>
        </w:rPr>
      </w:pPr>
      <w:r w:rsidRPr="00733404">
        <w:rPr>
          <w:rFonts w:ascii="Cambria Math" w:eastAsia="楷体" w:hAnsi="Cambria Math" w:cs="Cambria Math"/>
          <w:color w:val="00B050"/>
          <w:lang w:eastAsia="zh-CN"/>
        </w:rPr>
        <w:t>④</w:t>
      </w:r>
      <w:r w:rsidRPr="00733404">
        <w:rPr>
          <w:rFonts w:ascii="Times New Roman" w:eastAsia="楷体" w:hAnsi="Times New Roman"/>
          <w:color w:val="00B050"/>
          <w:lang w:eastAsia="zh-CN"/>
        </w:rPr>
        <w:t xml:space="preserve"> </w:t>
      </w:r>
      <w:r w:rsidRPr="00733404">
        <w:rPr>
          <w:rFonts w:ascii="Times New Roman" w:eastAsia="楷体" w:hAnsi="Times New Roman"/>
          <w:color w:val="00B050"/>
          <w:lang w:eastAsia="zh-CN"/>
        </w:rPr>
        <w:t>更常展示成功或优异结果，失败实验缺失；</w:t>
      </w:r>
    </w:p>
    <w:p w14:paraId="52347789" w14:textId="71FA13D9" w:rsidR="005E001D" w:rsidRPr="00733404" w:rsidRDefault="00944585" w:rsidP="00F704FA">
      <w:pPr>
        <w:jc w:val="both"/>
        <w:rPr>
          <w:rFonts w:ascii="Times New Roman" w:eastAsia="楷体" w:hAnsi="Times New Roman"/>
          <w:color w:val="00B050"/>
          <w:lang w:eastAsia="zh-CN"/>
        </w:rPr>
      </w:pPr>
      <w:r w:rsidRPr="00733404">
        <w:rPr>
          <w:rFonts w:ascii="Cambria Math" w:eastAsia="楷体" w:hAnsi="Cambria Math" w:cs="Cambria Math"/>
          <w:color w:val="00B050"/>
          <w:lang w:eastAsia="zh-CN"/>
        </w:rPr>
        <w:t>⑤</w:t>
      </w:r>
      <w:r w:rsidRPr="00733404">
        <w:rPr>
          <w:rFonts w:ascii="Times New Roman" w:eastAsia="楷体" w:hAnsi="Times New Roman"/>
          <w:color w:val="00B050"/>
          <w:lang w:eastAsia="zh-CN"/>
        </w:rPr>
        <w:t xml:space="preserve"> </w:t>
      </w:r>
      <w:r w:rsidRPr="00733404">
        <w:rPr>
          <w:rFonts w:ascii="Times New Roman" w:eastAsia="楷体" w:hAnsi="Times New Roman"/>
          <w:color w:val="00B050"/>
          <w:lang w:eastAsia="zh-CN"/>
        </w:rPr>
        <w:t>只有归一化曲线和处理后的图，缺少原始数值与误差。</w:t>
      </w:r>
    </w:p>
    <w:p w14:paraId="41DAA693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例如，把不同激发波长、浓度和仪器设置下的</w:t>
      </w:r>
      <w:r w:rsidRPr="00F704FA">
        <w:rPr>
          <w:rFonts w:ascii="Times New Roman" w:eastAsia="楷体" w:hAnsi="Times New Roman"/>
          <w:lang w:eastAsia="zh-CN"/>
        </w:rPr>
        <w:t xml:space="preserve"> PL </w:t>
      </w:r>
      <w:r w:rsidRPr="00F704FA">
        <w:rPr>
          <w:rFonts w:ascii="Times New Roman" w:eastAsia="楷体" w:hAnsi="Times New Roman"/>
          <w:lang w:eastAsia="zh-CN"/>
        </w:rPr>
        <w:t>峰高合并成</w:t>
      </w:r>
      <w:r w:rsidRPr="00F704FA">
        <w:rPr>
          <w:rFonts w:ascii="Times New Roman" w:eastAsia="楷体" w:hAnsi="Times New Roman"/>
          <w:lang w:eastAsia="zh-CN"/>
        </w:rPr>
        <w:t>“</w:t>
      </w:r>
      <w:r w:rsidRPr="00F704FA">
        <w:rPr>
          <w:rFonts w:ascii="Times New Roman" w:eastAsia="楷体" w:hAnsi="Times New Roman"/>
          <w:lang w:eastAsia="zh-CN"/>
        </w:rPr>
        <w:t>分子亮度</w:t>
      </w:r>
      <w:r w:rsidRPr="00F704FA">
        <w:rPr>
          <w:rFonts w:ascii="Times New Roman" w:eastAsia="楷体" w:hAnsi="Times New Roman"/>
          <w:lang w:eastAsia="zh-CN"/>
        </w:rPr>
        <w:t>”</w:t>
      </w:r>
      <w:r w:rsidRPr="00F704FA">
        <w:rPr>
          <w:rFonts w:ascii="Times New Roman" w:eastAsia="楷体" w:hAnsi="Times New Roman"/>
          <w:lang w:eastAsia="zh-CN"/>
        </w:rPr>
        <w:t>，模型可能主要学到测试条件差异。聚合物还涉及分子量分布与批次差异，仅凭重复单元结构往往不足以解释性质。</w:t>
      </w:r>
    </w:p>
    <w:p w14:paraId="7C352D24" w14:textId="77777777" w:rsidR="005E001D" w:rsidRPr="00F704FA" w:rsidRDefault="00944585" w:rsidP="00F704FA">
      <w:pPr>
        <w:pStyle w:val="21"/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机器要学出规律</w:t>
      </w:r>
      <w:r w:rsidRPr="00F704FA">
        <w:rPr>
          <w:rFonts w:ascii="Times New Roman" w:eastAsia="楷体" w:hAnsi="Times New Roman"/>
          <w:lang w:eastAsia="zh-CN"/>
        </w:rPr>
        <w:t xml:space="preserve"> </w:t>
      </w:r>
      <w:r w:rsidRPr="00F704FA">
        <w:rPr>
          <w:rFonts w:ascii="Times New Roman" w:eastAsia="楷体" w:hAnsi="Times New Roman"/>
          <w:lang w:eastAsia="zh-CN"/>
        </w:rPr>
        <w:t>至少需要哪些条件</w:t>
      </w:r>
    </w:p>
    <w:p w14:paraId="1F11B2D2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机器学习从样本中寻找能推广到新样本的关系。</w:t>
      </w:r>
      <w:r w:rsidRPr="00F704FA">
        <w:rPr>
          <w:rFonts w:ascii="Times New Roman" w:eastAsia="楷体" w:hAnsi="Times New Roman"/>
          <w:lang w:eastAsia="zh-CN"/>
        </w:rPr>
        <w:t>“</w:t>
      </w:r>
      <w:r w:rsidRPr="00F704FA">
        <w:rPr>
          <w:rFonts w:ascii="Times New Roman" w:eastAsia="楷体" w:hAnsi="Times New Roman"/>
          <w:lang w:eastAsia="zh-CN"/>
        </w:rPr>
        <w:t>特征</w:t>
      </w:r>
      <w:r w:rsidRPr="00F704FA">
        <w:rPr>
          <w:rFonts w:ascii="Times New Roman" w:eastAsia="楷体" w:hAnsi="Times New Roman"/>
          <w:lang w:eastAsia="zh-CN"/>
        </w:rPr>
        <w:t>”</w:t>
      </w:r>
      <w:r w:rsidRPr="00F704FA">
        <w:rPr>
          <w:rFonts w:ascii="Times New Roman" w:eastAsia="楷体" w:hAnsi="Times New Roman"/>
          <w:lang w:eastAsia="zh-CN"/>
        </w:rPr>
        <w:t>是输入描述，</w:t>
      </w:r>
      <w:r w:rsidRPr="00F704FA">
        <w:rPr>
          <w:rFonts w:ascii="Times New Roman" w:eastAsia="楷体" w:hAnsi="Times New Roman"/>
          <w:lang w:eastAsia="zh-CN"/>
        </w:rPr>
        <w:t>“</w:t>
      </w:r>
      <w:r w:rsidRPr="00F704FA">
        <w:rPr>
          <w:rFonts w:ascii="Times New Roman" w:eastAsia="楷体" w:hAnsi="Times New Roman"/>
          <w:lang w:eastAsia="zh-CN"/>
        </w:rPr>
        <w:t>标签</w:t>
      </w:r>
      <w:r w:rsidRPr="00F704FA">
        <w:rPr>
          <w:rFonts w:ascii="Times New Roman" w:eastAsia="楷体" w:hAnsi="Times New Roman"/>
          <w:lang w:eastAsia="zh-CN"/>
        </w:rPr>
        <w:t>”</w:t>
      </w:r>
      <w:r w:rsidRPr="00F704FA">
        <w:rPr>
          <w:rFonts w:ascii="Times New Roman" w:eastAsia="楷体" w:hAnsi="Times New Roman"/>
          <w:lang w:eastAsia="zh-CN"/>
        </w:rPr>
        <w:t>是希望预测的答案；</w:t>
      </w:r>
      <w:r w:rsidRPr="00733404">
        <w:rPr>
          <w:rFonts w:ascii="Times New Roman" w:eastAsia="楷体" w:hAnsi="Times New Roman"/>
          <w:color w:val="00B050"/>
          <w:lang w:eastAsia="zh-CN"/>
        </w:rPr>
        <w:t>预测反应收率时，结构与条件是特征，收率是标签</w:t>
      </w:r>
      <w:r w:rsidRPr="00F704FA">
        <w:rPr>
          <w:rFonts w:ascii="Times New Roman" w:eastAsia="楷体" w:hAnsi="Times New Roman"/>
          <w:lang w:eastAsia="zh-CN"/>
        </w:rP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7488"/>
      </w:tblGrid>
      <w:tr w:rsidR="005E001D" w:rsidRPr="00F704FA" w14:paraId="677717C3" w14:textId="77777777">
        <w:trPr>
          <w:cantSplit/>
          <w:tblHeader/>
          <w:jc w:val="center"/>
        </w:trPr>
        <w:tc>
          <w:tcPr>
            <w:tcW w:w="2592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05D5C5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b/>
                <w:sz w:val="21"/>
              </w:rPr>
              <w:t>最低条件</w:t>
            </w:r>
          </w:p>
        </w:tc>
        <w:tc>
          <w:tcPr>
            <w:tcW w:w="7488" w:type="dxa"/>
            <w:shd w:val="clear" w:color="auto" w:fill="DCE6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E691E0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b/>
                <w:sz w:val="21"/>
              </w:rPr>
              <w:t>以预测反应收率为例</w:t>
            </w:r>
          </w:p>
        </w:tc>
      </w:tr>
      <w:tr w:rsidR="005E001D" w:rsidRPr="00F704FA" w14:paraId="5BF6CB75" w14:textId="77777777">
        <w:trPr>
          <w:cantSplit/>
          <w:jc w:val="center"/>
        </w:trPr>
        <w:tc>
          <w:tcPr>
            <w:tcW w:w="259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D7886D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任务和对象明确</w:t>
            </w:r>
          </w:p>
        </w:tc>
        <w:tc>
          <w:tcPr>
            <w:tcW w:w="748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99AFB8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先说明预测哪些反应，以及预测的是分离收率还是其他指标。</w:t>
            </w:r>
          </w:p>
        </w:tc>
      </w:tr>
      <w:tr w:rsidR="005E001D" w:rsidRPr="00F704FA" w14:paraId="103794B1" w14:textId="77777777">
        <w:trPr>
          <w:cantSplit/>
          <w:jc w:val="center"/>
        </w:trPr>
        <w:tc>
          <w:tcPr>
            <w:tcW w:w="259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E82863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输入包含有关线索</w:t>
            </w:r>
          </w:p>
        </w:tc>
        <w:tc>
          <w:tcPr>
            <w:tcW w:w="748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62327C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提供底物、催化剂、溶剂、温度等；只给实验编号通常无法解释化学差异。</w:t>
            </w:r>
          </w:p>
        </w:tc>
      </w:tr>
      <w:tr w:rsidR="005E001D" w:rsidRPr="00F704FA" w14:paraId="051C04AF" w14:textId="77777777">
        <w:trPr>
          <w:cantSplit/>
          <w:jc w:val="center"/>
        </w:trPr>
        <w:tc>
          <w:tcPr>
            <w:tcW w:w="259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501561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</w:rPr>
            </w:pPr>
            <w:r w:rsidRPr="00F704FA">
              <w:rPr>
                <w:rFonts w:ascii="Times New Roman" w:eastAsia="楷体" w:hAnsi="Times New Roman"/>
                <w:sz w:val="21"/>
              </w:rPr>
              <w:t>记录与目标正确对应</w:t>
            </w:r>
          </w:p>
        </w:tc>
        <w:tc>
          <w:tcPr>
            <w:tcW w:w="748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510439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结构、条件和收率属于同一次实验；标签定义一致，缺失有说明。</w:t>
            </w:r>
          </w:p>
        </w:tc>
      </w:tr>
      <w:tr w:rsidR="005E001D" w:rsidRPr="00F704FA" w14:paraId="52DE5DC3" w14:textId="77777777">
        <w:trPr>
          <w:cantSplit/>
          <w:jc w:val="center"/>
        </w:trPr>
        <w:tc>
          <w:tcPr>
            <w:tcW w:w="259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EC585C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有足够独立的变化与覆盖</w:t>
            </w:r>
          </w:p>
        </w:tc>
        <w:tc>
          <w:tcPr>
            <w:tcW w:w="748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069065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覆盖相关底物、条件和低收率结果；样本量取决于任务，没有统一最低条数。</w:t>
            </w:r>
          </w:p>
        </w:tc>
      </w:tr>
      <w:tr w:rsidR="005E001D" w:rsidRPr="00F704FA" w14:paraId="793D72C8" w14:textId="77777777">
        <w:trPr>
          <w:cantSplit/>
          <w:jc w:val="center"/>
        </w:trPr>
        <w:tc>
          <w:tcPr>
            <w:tcW w:w="259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BFF169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信号可辨识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 xml:space="preserve"> </w:t>
            </w: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误差可评估</w:t>
            </w:r>
          </w:p>
        </w:tc>
        <w:tc>
          <w:tcPr>
            <w:tcW w:w="748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9D0E61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相关变量确实含有预测线索，并记录重复与波动；关键条件遗漏会妨碍学习。</w:t>
            </w:r>
          </w:p>
        </w:tc>
      </w:tr>
      <w:tr w:rsidR="005E001D" w:rsidRPr="00F704FA" w14:paraId="616FA7B3" w14:textId="77777777">
        <w:trPr>
          <w:cantSplit/>
          <w:jc w:val="center"/>
        </w:trPr>
        <w:tc>
          <w:tcPr>
            <w:tcW w:w="259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6950CD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能用未参与学习的数据检验</w:t>
            </w:r>
          </w:p>
        </w:tc>
        <w:tc>
          <w:tcPr>
            <w:tcW w:w="748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4DA2E9" w14:textId="77777777" w:rsidR="005E001D" w:rsidRPr="00F704FA" w:rsidRDefault="00944585" w:rsidP="00F704FA">
            <w:pPr>
              <w:spacing w:after="0" w:line="280" w:lineRule="exact"/>
              <w:jc w:val="both"/>
              <w:rPr>
                <w:rFonts w:ascii="Times New Roman" w:eastAsia="楷体" w:hAnsi="Times New Roman"/>
                <w:lang w:eastAsia="zh-CN"/>
              </w:rPr>
            </w:pPr>
            <w:r w:rsidRPr="00F704FA">
              <w:rPr>
                <w:rFonts w:ascii="Times New Roman" w:eastAsia="楷体" w:hAnsi="Times New Roman"/>
                <w:sz w:val="21"/>
                <w:lang w:eastAsia="zh-CN"/>
              </w:rPr>
              <w:t>预留独立测试集；若目标是预测新底物，同一底物的重复实验不能随意分散到训练与测试两边。</w:t>
            </w:r>
          </w:p>
        </w:tc>
      </w:tr>
    </w:tbl>
    <w:p w14:paraId="13815CF7" w14:textId="77777777" w:rsidR="005E001D" w:rsidRPr="00F704FA" w:rsidRDefault="005E001D" w:rsidP="00F704FA">
      <w:pPr>
        <w:spacing w:after="0"/>
        <w:jc w:val="both"/>
        <w:rPr>
          <w:rFonts w:ascii="Times New Roman" w:eastAsia="楷体" w:hAnsi="Times New Roman"/>
          <w:lang w:eastAsia="zh-CN"/>
        </w:rPr>
      </w:pPr>
    </w:p>
    <w:p w14:paraId="64D82886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733404">
        <w:rPr>
          <w:rFonts w:ascii="Times New Roman" w:eastAsia="楷体" w:hAnsi="Times New Roman"/>
          <w:color w:val="EE0000"/>
          <w:lang w:eastAsia="zh-CN"/>
        </w:rPr>
        <w:t>不要让测试答案或预测时无法获得的信息参与训练，这叫避免</w:t>
      </w:r>
      <w:r w:rsidRPr="00733404">
        <w:rPr>
          <w:rFonts w:ascii="Times New Roman" w:eastAsia="楷体" w:hAnsi="Times New Roman"/>
          <w:color w:val="EE0000"/>
          <w:lang w:eastAsia="zh-CN"/>
        </w:rPr>
        <w:t>“</w:t>
      </w:r>
      <w:r w:rsidRPr="00733404">
        <w:rPr>
          <w:rFonts w:ascii="Times New Roman" w:eastAsia="楷体" w:hAnsi="Times New Roman"/>
          <w:color w:val="EE0000"/>
          <w:lang w:eastAsia="zh-CN"/>
        </w:rPr>
        <w:t>数据泄漏</w:t>
      </w:r>
      <w:r w:rsidRPr="00733404">
        <w:rPr>
          <w:rFonts w:ascii="Times New Roman" w:eastAsia="楷体" w:hAnsi="Times New Roman"/>
          <w:color w:val="EE0000"/>
          <w:lang w:eastAsia="zh-CN"/>
        </w:rPr>
        <w:t>”</w:t>
      </w:r>
      <w:r w:rsidRPr="00F704FA">
        <w:rPr>
          <w:rFonts w:ascii="Times New Roman" w:eastAsia="楷体" w:hAnsi="Times New Roman"/>
          <w:lang w:eastAsia="zh-CN"/>
        </w:rPr>
        <w:t>。否则模型可能看起来很准，却无法预测新实验。</w:t>
      </w:r>
      <w:r w:rsidRPr="00733404">
        <w:rPr>
          <w:rFonts w:ascii="Times New Roman" w:eastAsia="楷体" w:hAnsi="Times New Roman"/>
          <w:vertAlign w:val="superscript"/>
          <w:lang w:eastAsia="zh-CN"/>
        </w:rPr>
        <w:t>[3]</w:t>
      </w:r>
      <w:r w:rsidRPr="00F704FA">
        <w:rPr>
          <w:rFonts w:ascii="Times New Roman" w:eastAsia="楷体" w:hAnsi="Times New Roman"/>
          <w:lang w:eastAsia="zh-CN"/>
        </w:rPr>
        <w:t xml:space="preserve"> </w:t>
      </w:r>
      <w:r w:rsidRPr="00F704FA">
        <w:rPr>
          <w:rFonts w:ascii="Times New Roman" w:eastAsia="楷体" w:hAnsi="Times New Roman"/>
          <w:lang w:eastAsia="zh-CN"/>
        </w:rPr>
        <w:t>无监督学习不要求人工标签；自监督学习可从数据本身构造目标。它们仍需要质量与覆盖，学到相关性也不等于证明因果机制。</w:t>
      </w:r>
    </w:p>
    <w:p w14:paraId="539790BE" w14:textId="77777777" w:rsidR="005E001D" w:rsidRPr="00F704FA" w:rsidRDefault="00944585" w:rsidP="00F704FA">
      <w:pPr>
        <w:pStyle w:val="21"/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小组讨论练习</w:t>
      </w:r>
    </w:p>
    <w:p w14:paraId="7898B0B9" w14:textId="77777777" w:rsidR="005E001D" w:rsidRPr="00F704FA" w:rsidRDefault="00944585" w:rsidP="00F704FA">
      <w:pPr>
        <w:jc w:val="both"/>
        <w:rPr>
          <w:rFonts w:ascii="Times New Roman" w:eastAsia="楷体" w:hAnsi="Times New Roman"/>
          <w:lang w:eastAsia="zh-CN"/>
        </w:rPr>
      </w:pPr>
      <w:r w:rsidRPr="00F704FA">
        <w:rPr>
          <w:rFonts w:ascii="Times New Roman" w:eastAsia="楷体" w:hAnsi="Times New Roman"/>
          <w:lang w:eastAsia="zh-CN"/>
        </w:rPr>
        <w:t>有</w:t>
      </w:r>
      <w:r w:rsidRPr="00F704FA">
        <w:rPr>
          <w:rFonts w:ascii="Times New Roman" w:eastAsia="楷体" w:hAnsi="Times New Roman"/>
          <w:lang w:eastAsia="zh-CN"/>
        </w:rPr>
        <w:t xml:space="preserve"> 200 </w:t>
      </w:r>
      <w:r w:rsidRPr="00F704FA">
        <w:rPr>
          <w:rFonts w:ascii="Times New Roman" w:eastAsia="楷体" w:hAnsi="Times New Roman"/>
          <w:lang w:eastAsia="zh-CN"/>
        </w:rPr>
        <w:t>篇论文，只摘出</w:t>
      </w:r>
      <w:r w:rsidRPr="00F704FA">
        <w:rPr>
          <w:rFonts w:ascii="Times New Roman" w:eastAsia="楷体" w:hAnsi="Times New Roman"/>
          <w:lang w:eastAsia="zh-CN"/>
        </w:rPr>
        <w:t>“</w:t>
      </w:r>
      <w:r w:rsidRPr="00F704FA">
        <w:rPr>
          <w:rFonts w:ascii="Times New Roman" w:eastAsia="楷体" w:hAnsi="Times New Roman"/>
          <w:lang w:eastAsia="zh-CN"/>
        </w:rPr>
        <w:t>分子结构＋最高收率</w:t>
      </w:r>
      <w:r w:rsidRPr="00F704FA">
        <w:rPr>
          <w:rFonts w:ascii="Times New Roman" w:eastAsia="楷体" w:hAnsi="Times New Roman"/>
          <w:lang w:eastAsia="zh-CN"/>
        </w:rPr>
        <w:t>”</w:t>
      </w:r>
      <w:r w:rsidRPr="00F704FA">
        <w:rPr>
          <w:rFonts w:ascii="Times New Roman" w:eastAsia="楷体" w:hAnsi="Times New Roman"/>
          <w:lang w:eastAsia="zh-CN"/>
        </w:rPr>
        <w:t>，能训练一个通用收率预测器吗？请每人提出一个缺失字段和一种验证办法。参考方向：记录条件与全部可获得结果，统一收率定义，并按新底物或新来源检验预测能力。</w:t>
      </w:r>
    </w:p>
    <w:p w14:paraId="14C09209" w14:textId="77777777" w:rsidR="005E001D" w:rsidRPr="00F704FA" w:rsidRDefault="00944585" w:rsidP="00F704FA">
      <w:pPr>
        <w:spacing w:after="60"/>
        <w:jc w:val="both"/>
        <w:rPr>
          <w:rFonts w:ascii="Times New Roman" w:eastAsia="楷体" w:hAnsi="Times New Roman"/>
        </w:rPr>
      </w:pPr>
      <w:hyperlink r:id="rId8">
        <w:r w:rsidRPr="00F704FA">
          <w:rPr>
            <w:rFonts w:ascii="Times New Roman" w:eastAsia="楷体" w:hAnsi="Times New Roman"/>
            <w:sz w:val="18"/>
          </w:rPr>
          <w:t xml:space="preserve">[1] </w:t>
        </w:r>
        <w:r w:rsidRPr="00F704FA">
          <w:rPr>
            <w:rFonts w:ascii="Times New Roman" w:eastAsia="楷体" w:hAnsi="Times New Roman"/>
            <w:sz w:val="18"/>
          </w:rPr>
          <w:t>分子表示</w:t>
        </w:r>
        <w:r w:rsidRPr="00F704FA">
          <w:rPr>
            <w:rFonts w:ascii="Times New Roman" w:eastAsia="楷体" w:hAnsi="Times New Roman"/>
            <w:sz w:val="18"/>
          </w:rPr>
          <w:t xml:space="preserve">  Daylight SMILES </w:t>
        </w:r>
        <w:r w:rsidRPr="00F704FA">
          <w:rPr>
            <w:rFonts w:ascii="Times New Roman" w:eastAsia="楷体" w:hAnsi="Times New Roman"/>
            <w:sz w:val="18"/>
          </w:rPr>
          <w:t>官方说明</w:t>
        </w:r>
      </w:hyperlink>
    </w:p>
    <w:p w14:paraId="3AAF1B3E" w14:textId="77777777" w:rsidR="005E001D" w:rsidRPr="00F704FA" w:rsidRDefault="00944585" w:rsidP="00F704FA">
      <w:pPr>
        <w:spacing w:after="60"/>
        <w:jc w:val="both"/>
        <w:rPr>
          <w:rFonts w:ascii="Times New Roman" w:eastAsia="楷体" w:hAnsi="Times New Roman"/>
        </w:rPr>
      </w:pPr>
      <w:hyperlink r:id="rId9">
        <w:r w:rsidRPr="00F704FA">
          <w:rPr>
            <w:rFonts w:ascii="Times New Roman" w:eastAsia="楷体" w:hAnsi="Times New Roman"/>
            <w:sz w:val="18"/>
          </w:rPr>
          <w:t xml:space="preserve">[2] </w:t>
        </w:r>
        <w:r w:rsidRPr="00F704FA">
          <w:rPr>
            <w:rFonts w:ascii="Times New Roman" w:eastAsia="楷体" w:hAnsi="Times New Roman"/>
            <w:sz w:val="18"/>
          </w:rPr>
          <w:t>数据复用</w:t>
        </w:r>
        <w:r w:rsidRPr="00F704FA">
          <w:rPr>
            <w:rFonts w:ascii="Times New Roman" w:eastAsia="楷体" w:hAnsi="Times New Roman"/>
            <w:sz w:val="18"/>
          </w:rPr>
          <w:t xml:space="preserve">  GO FAIR Foundation FAIR </w:t>
        </w:r>
        <w:r w:rsidRPr="00F704FA">
          <w:rPr>
            <w:rFonts w:ascii="Times New Roman" w:eastAsia="楷体" w:hAnsi="Times New Roman"/>
            <w:sz w:val="18"/>
          </w:rPr>
          <w:t>原则</w:t>
        </w:r>
      </w:hyperlink>
    </w:p>
    <w:p w14:paraId="6AB4E74C" w14:textId="77777777" w:rsidR="005E001D" w:rsidRPr="00F704FA" w:rsidRDefault="00944585" w:rsidP="00F704FA">
      <w:pPr>
        <w:spacing w:after="60"/>
        <w:jc w:val="both"/>
        <w:rPr>
          <w:rFonts w:ascii="Times New Roman" w:eastAsia="楷体" w:hAnsi="Times New Roman"/>
        </w:rPr>
      </w:pPr>
      <w:hyperlink r:id="rId10" w:anchor="data-leakage">
        <w:r w:rsidRPr="00F704FA">
          <w:rPr>
            <w:rFonts w:ascii="Times New Roman" w:eastAsia="楷体" w:hAnsi="Times New Roman"/>
            <w:sz w:val="18"/>
          </w:rPr>
          <w:t xml:space="preserve">[3] </w:t>
        </w:r>
        <w:r w:rsidRPr="00F704FA">
          <w:rPr>
            <w:rFonts w:ascii="Times New Roman" w:eastAsia="楷体" w:hAnsi="Times New Roman"/>
            <w:sz w:val="18"/>
          </w:rPr>
          <w:t>数据泄漏</w:t>
        </w:r>
        <w:r w:rsidRPr="00F704FA">
          <w:rPr>
            <w:rFonts w:ascii="Times New Roman" w:eastAsia="楷体" w:hAnsi="Times New Roman"/>
            <w:sz w:val="18"/>
          </w:rPr>
          <w:t xml:space="preserve">  scikit-learn </w:t>
        </w:r>
        <w:r w:rsidRPr="00F704FA">
          <w:rPr>
            <w:rFonts w:ascii="Times New Roman" w:eastAsia="楷体" w:hAnsi="Times New Roman"/>
            <w:sz w:val="18"/>
          </w:rPr>
          <w:t>官方说明</w:t>
        </w:r>
      </w:hyperlink>
    </w:p>
    <w:sectPr w:rsidR="005E001D" w:rsidRPr="00F704FA" w:rsidSect="00034616">
      <w:footerReference w:type="default" r:id="rId11"/>
      <w:pgSz w:w="12240" w:h="15840"/>
      <w:pgMar w:top="936" w:right="1080" w:bottom="936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46479" w14:textId="77777777" w:rsidR="00944585" w:rsidRDefault="00944585">
      <w:pPr>
        <w:spacing w:after="0" w:line="240" w:lineRule="auto"/>
      </w:pPr>
      <w:r>
        <w:separator/>
      </w:r>
    </w:p>
  </w:endnote>
  <w:endnote w:type="continuationSeparator" w:id="0">
    <w:p w14:paraId="4A3B6DDC" w14:textId="77777777" w:rsidR="00944585" w:rsidRDefault="00944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968FE" w14:textId="77777777" w:rsidR="005E001D" w:rsidRDefault="00944585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F704FA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A762D" w14:textId="77777777" w:rsidR="00944585" w:rsidRDefault="00944585">
      <w:pPr>
        <w:spacing w:after="0" w:line="240" w:lineRule="auto"/>
      </w:pPr>
      <w:r>
        <w:separator/>
      </w:r>
    </w:p>
  </w:footnote>
  <w:footnote w:type="continuationSeparator" w:id="0">
    <w:p w14:paraId="1C83BAC6" w14:textId="77777777" w:rsidR="00944585" w:rsidRDefault="009445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39FB"/>
    <w:rsid w:val="005E001D"/>
    <w:rsid w:val="00733404"/>
    <w:rsid w:val="007F749A"/>
    <w:rsid w:val="008932E8"/>
    <w:rsid w:val="00944585"/>
    <w:rsid w:val="00AA1D8D"/>
    <w:rsid w:val="00B47730"/>
    <w:rsid w:val="00CB0664"/>
    <w:rsid w:val="00F704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7F3D1B"/>
  <w14:defaultImageDpi w14:val="300"/>
  <w15:docId w15:val="{44EC0D23-4A50-4F68-96E3-624FEA546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120" w:line="310" w:lineRule="exact"/>
    </w:pPr>
    <w:rPr>
      <w:rFonts w:ascii="Noto Sans SC" w:eastAsia="Noto Sans SC" w:hAnsi="Noto Sans SC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40" w:line="264" w:lineRule="auto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40" w:line="264" w:lineRule="auto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264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 w:line="264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 w:line="264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 w:line="264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 w:line="264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 w:line="264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 w:line="264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napToGrid w:val="0"/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before="200"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ylight.com/dayhtml/doc/theory/theory.smiles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scikit-learn.org/stable/common_pitfall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fair.foundation/fair-princip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数据与信息及机器学习的数据基础</dc:title>
  <dc:subject>AI学习小组讨论讲义</dc:subject>
  <dc:creator>LI Chong</dc:creator>
  <cp:keywords/>
  <dc:description>generated by python-docx</dc:description>
  <cp:lastModifiedBy>LI Chong</cp:lastModifiedBy>
  <cp:revision>2</cp:revision>
  <dcterms:created xsi:type="dcterms:W3CDTF">2026-09-17T11:47:00Z</dcterms:created>
  <dcterms:modified xsi:type="dcterms:W3CDTF">2026-09-17T11:47:00Z</dcterms:modified>
  <cp:category/>
</cp:coreProperties>
</file>