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F913" w14:textId="7668E9D7" w:rsidR="00CA4DDD" w:rsidRPr="005A0805" w:rsidRDefault="00CA4DDD" w:rsidP="00B50B03">
      <w:pPr>
        <w:pStyle w:val="Title"/>
      </w:pPr>
      <w:r w:rsidRPr="005A0805">
        <w:t>CHECKLIST – ESTATE PLANNING DOCUMENT</w:t>
      </w:r>
      <w:r w:rsidR="001B6E5E">
        <w:t xml:space="preserve"> DRAFTING</w:t>
      </w:r>
      <w:r w:rsidR="00BD1804">
        <w:t xml:space="preserve"> REVIEW</w:t>
      </w:r>
    </w:p>
    <w:p w14:paraId="311647D0" w14:textId="677F5DF0" w:rsidR="00CA4DDD" w:rsidRPr="001B6E5E" w:rsidRDefault="00CA4DDD" w:rsidP="001B6E5E">
      <w:pPr>
        <w:pStyle w:val="Heading"/>
      </w:pPr>
      <w:r w:rsidRPr="001B6E5E">
        <w:t xml:space="preserve">Client name: </w:t>
      </w:r>
      <w:r w:rsidR="003D07C8" w:rsidRPr="009655B5">
        <w:rPr>
          <w:b w:val="0"/>
          <w:bCs/>
          <w:highlight w:val="yellow"/>
        </w:rPr>
        <w:t xml:space="preserve">&lt;&lt; </w:t>
      </w:r>
      <w:proofErr w:type="spellStart"/>
      <w:r w:rsidR="003D07C8" w:rsidRPr="009655B5">
        <w:rPr>
          <w:b w:val="0"/>
          <w:bCs/>
          <w:highlight w:val="yellow"/>
        </w:rPr>
        <w:t>Matter.Client.Name</w:t>
      </w:r>
      <w:proofErr w:type="spellEnd"/>
      <w:r w:rsidR="003D07C8" w:rsidRPr="009655B5">
        <w:rPr>
          <w:b w:val="0"/>
          <w:bCs/>
          <w:highlight w:val="yellow"/>
        </w:rPr>
        <w:t xml:space="preserve"> &gt;&gt;</w:t>
      </w:r>
    </w:p>
    <w:p w14:paraId="3ECDBE6B" w14:textId="77777777" w:rsidR="00CA4DDD" w:rsidRPr="001B6E5E" w:rsidRDefault="00CA4DDD" w:rsidP="001B6E5E">
      <w:pPr>
        <w:pStyle w:val="Heading"/>
      </w:pPr>
      <w:r w:rsidRPr="001B6E5E">
        <w:t>Reviewed by:</w:t>
      </w:r>
    </w:p>
    <w:p w14:paraId="760EF020" w14:textId="150E3A7D" w:rsidR="00CA4DDD" w:rsidRPr="001B6E5E" w:rsidRDefault="00CA4DDD" w:rsidP="001B6E5E">
      <w:pPr>
        <w:pStyle w:val="Heading"/>
      </w:pPr>
      <w:r w:rsidRPr="001B6E5E">
        <w:t xml:space="preserve">Date of Review: </w:t>
      </w:r>
      <w:r w:rsidR="000F367B">
        <w:br/>
      </w:r>
    </w:p>
    <w:tbl>
      <w:tblPr>
        <w:tblStyle w:val="TableGrid"/>
        <w:tblW w:w="9476" w:type="dxa"/>
        <w:tblInd w:w="0" w:type="dxa"/>
        <w:tblLook w:val="04A0" w:firstRow="1" w:lastRow="0" w:firstColumn="1" w:lastColumn="0" w:noHBand="0" w:noVBand="1"/>
      </w:tblPr>
      <w:tblGrid>
        <w:gridCol w:w="562"/>
        <w:gridCol w:w="7573"/>
        <w:gridCol w:w="1341"/>
      </w:tblGrid>
      <w:tr w:rsidR="008B1D6A" w14:paraId="01727058" w14:textId="77777777" w:rsidTr="000622A0">
        <w:trPr>
          <w:tblHeader/>
        </w:trPr>
        <w:tc>
          <w:tcPr>
            <w:tcW w:w="562" w:type="dxa"/>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4C1555D0" w14:textId="77777777" w:rsidR="008B1D6A" w:rsidRPr="009A0DAD" w:rsidRDefault="008B1D6A" w:rsidP="000E5281">
            <w:pPr>
              <w:pStyle w:val="TableHeading"/>
            </w:pPr>
          </w:p>
        </w:tc>
        <w:tc>
          <w:tcPr>
            <w:tcW w:w="7573"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3ACB8DF6" w14:textId="51CD4D25" w:rsidR="008B1D6A" w:rsidRPr="009A0DAD" w:rsidRDefault="008B1D6A" w:rsidP="000E5281">
            <w:pPr>
              <w:pStyle w:val="TableHeading"/>
            </w:pPr>
            <w:r w:rsidRPr="009A0DAD">
              <w:t>Item</w:t>
            </w:r>
          </w:p>
        </w:tc>
        <w:tc>
          <w:tcPr>
            <w:tcW w:w="1341"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2E11F1B5" w14:textId="77777777" w:rsidR="008B1D6A" w:rsidRPr="009A0DAD" w:rsidRDefault="008B1D6A" w:rsidP="000E5281">
            <w:pPr>
              <w:pStyle w:val="TableHeading"/>
            </w:pPr>
            <w:r w:rsidRPr="009A0DAD">
              <w:t>Complete</w:t>
            </w:r>
          </w:p>
        </w:tc>
      </w:tr>
      <w:tr w:rsidR="000F5DA0" w14:paraId="79D598B0" w14:textId="77777777" w:rsidTr="00423004">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E4C8D4E" w14:textId="6989F071" w:rsidR="000F5DA0" w:rsidRPr="009A0DAD" w:rsidRDefault="000F5DA0" w:rsidP="00D4088C">
            <w:pPr>
              <w:rPr>
                <w:b/>
                <w:bCs/>
              </w:rPr>
            </w:pPr>
            <w:r w:rsidRPr="009A0DAD">
              <w:rPr>
                <w:b/>
                <w:bCs/>
              </w:rPr>
              <w:t>Drafting Issues – Legal – All Documents</w:t>
            </w:r>
          </w:p>
        </w:tc>
      </w:tr>
      <w:tr w:rsidR="008B1D6A" w14:paraId="5AF5885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6B62EDC" w14:textId="77777777" w:rsidR="008B1D6A" w:rsidRPr="00F6119B"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24F9BDA" w14:textId="24E8EC19" w:rsidR="008B1D6A" w:rsidRDefault="008B1D6A" w:rsidP="00D4088C">
            <w:r>
              <w:t>Confirm that the client’s name and address is:</w:t>
            </w:r>
          </w:p>
          <w:p w14:paraId="131AB877" w14:textId="1F769983" w:rsidR="008B1D6A" w:rsidRDefault="008B1D6A" w:rsidP="000E5281">
            <w:pPr>
              <w:pStyle w:val="TableListLevel1"/>
            </w:pPr>
            <w:r>
              <w:t>Correct (refer to source documents to confirm)</w:t>
            </w:r>
          </w:p>
          <w:p w14:paraId="03235E8A" w14:textId="77777777" w:rsidR="008B1D6A" w:rsidRDefault="008B1D6A" w:rsidP="00EF5C11">
            <w:pPr>
              <w:pStyle w:val="TableListLevel1"/>
            </w:pPr>
            <w:r>
              <w:t xml:space="preserve">Consistent across the documents </w:t>
            </w:r>
          </w:p>
          <w:p w14:paraId="7EEE752C" w14:textId="2C31C357" w:rsidR="008B1D6A" w:rsidRDefault="008B1D6A" w:rsidP="000E5281">
            <w:pPr>
              <w:pStyle w:val="TableListLevel1"/>
            </w:pPr>
            <w:r>
              <w:t>Includes any aliases (where relevant)</w:t>
            </w:r>
          </w:p>
        </w:tc>
        <w:sdt>
          <w:sdtPr>
            <w:id w:val="29588175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D121D2A" w14:textId="77777777" w:rsidR="008B1D6A" w:rsidRDefault="008B1D6A" w:rsidP="00D4088C">
                <w:pPr>
                  <w:jc w:val="center"/>
                </w:pPr>
                <w:r>
                  <w:rPr>
                    <w:rFonts w:ascii="Segoe UI Symbol" w:hAnsi="Segoe UI Symbol" w:cs="Segoe UI Symbol"/>
                  </w:rPr>
                  <w:t>☐</w:t>
                </w:r>
              </w:p>
            </w:tc>
          </w:sdtContent>
        </w:sdt>
      </w:tr>
      <w:tr w:rsidR="008B1D6A" w14:paraId="395A43E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C0955B6" w14:textId="77777777" w:rsidR="008B1D6A" w:rsidRPr="00F6119B"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87C07F0" w14:textId="28B7ECC5" w:rsidR="008B1D6A" w:rsidRDefault="008B1D6A" w:rsidP="00D4088C">
            <w:r>
              <w:t>Confirm if the documents should be in contemplation of an event (e.g. marriage/divorce)</w:t>
            </w:r>
          </w:p>
        </w:tc>
        <w:sdt>
          <w:sdtPr>
            <w:id w:val="46277593"/>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9493A9B" w14:textId="77777777" w:rsidR="008B1D6A" w:rsidRDefault="008B1D6A" w:rsidP="00D4088C">
                <w:pPr>
                  <w:jc w:val="center"/>
                </w:pPr>
                <w:r>
                  <w:rPr>
                    <w:rFonts w:ascii="Segoe UI Symbol" w:hAnsi="Segoe UI Symbol" w:cs="Segoe UI Symbol"/>
                  </w:rPr>
                  <w:t>☐</w:t>
                </w:r>
              </w:p>
            </w:tc>
          </w:sdtContent>
        </w:sdt>
      </w:tr>
      <w:tr w:rsidR="000F5DA0" w14:paraId="2352C54E" w14:textId="77777777" w:rsidTr="00581715">
        <w:trPr>
          <w:trHeight w:val="179"/>
        </w:trPr>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6EB7E22" w14:textId="330315B6" w:rsidR="000F5DA0" w:rsidRDefault="000F5DA0" w:rsidP="00D4088C">
            <w:r w:rsidRPr="009A0DAD">
              <w:rPr>
                <w:b/>
                <w:bCs/>
              </w:rPr>
              <w:t xml:space="preserve">Drafting Issues – Legal </w:t>
            </w:r>
            <w:r>
              <w:rPr>
                <w:b/>
                <w:bCs/>
              </w:rPr>
              <w:t>–</w:t>
            </w:r>
            <w:r w:rsidRPr="009A0DAD">
              <w:rPr>
                <w:b/>
                <w:bCs/>
              </w:rPr>
              <w:t xml:space="preserve"> Will</w:t>
            </w:r>
          </w:p>
        </w:tc>
      </w:tr>
      <w:tr w:rsidR="008B1D6A" w14:paraId="043EF00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A0FC4D3" w14:textId="77777777" w:rsidR="008B1D6A" w:rsidRDefault="008B1D6A" w:rsidP="001B6E5E">
            <w:pPr>
              <w:pStyle w:val="TableHeadingNumberingLevel1"/>
              <w:numPr>
                <w:ilvl w:val="0"/>
                <w:numId w:val="21"/>
              </w:numPr>
            </w:pPr>
          </w:p>
        </w:tc>
        <w:tc>
          <w:tcPr>
            <w:tcW w:w="7573" w:type="dxa"/>
            <w:tcBorders>
              <w:top w:val="single" w:sz="4" w:space="0" w:color="auto"/>
              <w:left w:val="single" w:sz="4" w:space="0" w:color="auto"/>
              <w:bottom w:val="single" w:sz="4" w:space="0" w:color="auto"/>
              <w:right w:val="single" w:sz="4" w:space="0" w:color="auto"/>
            </w:tcBorders>
            <w:hideMark/>
          </w:tcPr>
          <w:p w14:paraId="39680AD7" w14:textId="44011F04" w:rsidR="008B1D6A" w:rsidRDefault="008B1D6A" w:rsidP="00D4088C">
            <w:r>
              <w:t>Confirm if the will should apply to the testator’s assets worldwide or if the jurisdiction should be limited to Australia only</w:t>
            </w:r>
          </w:p>
        </w:tc>
        <w:sdt>
          <w:sdtPr>
            <w:id w:val="6939606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774BB36" w14:textId="77777777" w:rsidR="008B1D6A" w:rsidRDefault="008B1D6A" w:rsidP="00D4088C">
                <w:pPr>
                  <w:jc w:val="center"/>
                </w:pPr>
                <w:r>
                  <w:rPr>
                    <w:rFonts w:ascii="Segoe UI Symbol" w:hAnsi="Segoe UI Symbol" w:cs="Segoe UI Symbol"/>
                  </w:rPr>
                  <w:t>☐</w:t>
                </w:r>
              </w:p>
            </w:tc>
          </w:sdtContent>
        </w:sdt>
      </w:tr>
      <w:tr w:rsidR="008B1D6A" w14:paraId="10C8935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0114B8C"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1700A652" w14:textId="49FED3D4" w:rsidR="008B1D6A" w:rsidRDefault="008B1D6A" w:rsidP="00D4088C">
            <w:r>
              <w:t>Consider if the will should reflect (or mention) any existing binding financial agreement</w:t>
            </w:r>
            <w:r>
              <w:rPr>
                <w:rStyle w:val="FootnoteReference"/>
              </w:rPr>
              <w:footnoteReference w:id="1"/>
            </w:r>
            <w:r>
              <w:t xml:space="preserve">  </w:t>
            </w:r>
          </w:p>
        </w:tc>
        <w:sdt>
          <w:sdtPr>
            <w:id w:val="-16139400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0EF965F1" w14:textId="2C8A6F9E" w:rsidR="008B1D6A" w:rsidRDefault="008B1D6A" w:rsidP="00D4088C">
                <w:pPr>
                  <w:jc w:val="center"/>
                </w:pPr>
                <w:r>
                  <w:rPr>
                    <w:rFonts w:ascii="Segoe UI Symbol" w:hAnsi="Segoe UI Symbol" w:cs="Segoe UI Symbol"/>
                  </w:rPr>
                  <w:t>☐</w:t>
                </w:r>
              </w:p>
            </w:tc>
          </w:sdtContent>
        </w:sdt>
      </w:tr>
      <w:tr w:rsidR="008B1D6A" w14:paraId="679789B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643848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295CCE9F" w14:textId="428C2A67" w:rsidR="008B1D6A" w:rsidRDefault="008B1D6A" w:rsidP="00D4088C">
            <w:r>
              <w:t xml:space="preserve">Is the correct template will being used? Consider: </w:t>
            </w:r>
          </w:p>
          <w:p w14:paraId="18E5C2DF" w14:textId="26D3BC28" w:rsidR="008B1D6A" w:rsidRDefault="008B1D6A" w:rsidP="001B6E5E">
            <w:pPr>
              <w:pStyle w:val="TableListLevel1"/>
              <w:numPr>
                <w:ilvl w:val="0"/>
                <w:numId w:val="3"/>
              </w:numPr>
            </w:pPr>
            <w:r>
              <w:t>Whether a Testamentary Trust (TT) is being used or not</w:t>
            </w:r>
            <w:r>
              <w:rPr>
                <w:rStyle w:val="FootnoteReference"/>
              </w:rPr>
              <w:footnoteReference w:id="2"/>
            </w:r>
            <w:r>
              <w:t xml:space="preserve"> </w:t>
            </w:r>
          </w:p>
          <w:p w14:paraId="2672C154" w14:textId="39EEBBEE" w:rsidR="008B1D6A" w:rsidRDefault="008B1D6A" w:rsidP="00272841">
            <w:pPr>
              <w:pStyle w:val="TableListLevel1"/>
            </w:pPr>
            <w:r>
              <w:t>Whether there are multiple TTs used</w:t>
            </w:r>
            <w:r>
              <w:rPr>
                <w:rStyle w:val="FootnoteReference"/>
              </w:rPr>
              <w:footnoteReference w:id="3"/>
            </w:r>
            <w:r>
              <w:t xml:space="preserve"> </w:t>
            </w:r>
          </w:p>
          <w:p w14:paraId="52C92D84" w14:textId="3FDE66F5" w:rsidR="008B1D6A" w:rsidRDefault="008B1D6A" w:rsidP="00E27E6A">
            <w:pPr>
              <w:pStyle w:val="TableListLevel1"/>
            </w:pPr>
            <w:r>
              <w:t>Whether a special purpose precedent needs to be used, for example, to address issues where foreign persons are intended to be beneficiaries of TT</w:t>
            </w:r>
            <w:r>
              <w:rPr>
                <w:rStyle w:val="FootnoteReference"/>
              </w:rPr>
              <w:footnoteReference w:id="4"/>
            </w:r>
            <w:r>
              <w:t xml:space="preserve"> </w:t>
            </w:r>
          </w:p>
        </w:tc>
        <w:sdt>
          <w:sdtPr>
            <w:id w:val="157840273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0AE3FE18" w14:textId="0C2E6E5C" w:rsidR="008B1D6A" w:rsidRDefault="008B1D6A" w:rsidP="00D4088C">
                <w:pPr>
                  <w:jc w:val="center"/>
                </w:pPr>
                <w:r>
                  <w:rPr>
                    <w:rFonts w:ascii="Segoe UI Symbol" w:hAnsi="Segoe UI Symbol" w:cs="Segoe UI Symbol"/>
                  </w:rPr>
                  <w:t>☐</w:t>
                </w:r>
              </w:p>
            </w:tc>
          </w:sdtContent>
        </w:sdt>
      </w:tr>
      <w:tr w:rsidR="008B1D6A" w14:paraId="7438D58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A296389" w14:textId="77777777" w:rsidR="008B1D6A" w:rsidRDefault="008B1D6A" w:rsidP="001B6E5E">
            <w:pPr>
              <w:pStyle w:val="TableHeadingNumberingLevel1"/>
              <w:numPr>
                <w:ilvl w:val="0"/>
                <w:numId w:val="22"/>
              </w:numPr>
            </w:pPr>
          </w:p>
        </w:tc>
        <w:tc>
          <w:tcPr>
            <w:tcW w:w="7573" w:type="dxa"/>
            <w:tcBorders>
              <w:top w:val="single" w:sz="4" w:space="0" w:color="auto"/>
              <w:left w:val="single" w:sz="4" w:space="0" w:color="auto"/>
              <w:bottom w:val="single" w:sz="4" w:space="0" w:color="auto"/>
              <w:right w:val="single" w:sz="4" w:space="0" w:color="auto"/>
            </w:tcBorders>
            <w:hideMark/>
          </w:tcPr>
          <w:p w14:paraId="7D8B9F46" w14:textId="373F804A" w:rsidR="008B1D6A" w:rsidRDefault="008B1D6A" w:rsidP="00D4088C">
            <w:r>
              <w:t>Confirm if TT summary</w:t>
            </w:r>
            <w:r>
              <w:rPr>
                <w:rStyle w:val="FootnoteReference"/>
              </w:rPr>
              <w:footnoteReference w:id="5"/>
            </w:r>
            <w:r>
              <w:t>:</w:t>
            </w:r>
          </w:p>
          <w:p w14:paraId="0A0F7CE2" w14:textId="23CF7F28" w:rsidR="008B1D6A" w:rsidRDefault="008B1D6A" w:rsidP="001B6E5E">
            <w:pPr>
              <w:pStyle w:val="TableListLevel1"/>
              <w:numPr>
                <w:ilvl w:val="0"/>
                <w:numId w:val="7"/>
              </w:numPr>
            </w:pPr>
            <w:r>
              <w:t>Uses a naming convention for the TT/s that is appropriate for the client scenario</w:t>
            </w:r>
            <w:r>
              <w:rPr>
                <w:rStyle w:val="FootnoteReference"/>
              </w:rPr>
              <w:footnoteReference w:id="6"/>
            </w:r>
          </w:p>
          <w:p w14:paraId="35333023" w14:textId="21DC1C4F" w:rsidR="008B1D6A" w:rsidRDefault="008B1D6A" w:rsidP="00272841">
            <w:pPr>
              <w:pStyle w:val="TableListLevel1"/>
            </w:pPr>
            <w:r>
              <w:t>Reflects the estate planning strategy appropriately i.e. correctly notes when the TT/s come into effect (immediately or on the death of both clients) and has the desired number of TTs</w:t>
            </w:r>
          </w:p>
          <w:p w14:paraId="07CA7DEB" w14:textId="5FD16CE9" w:rsidR="008B1D6A" w:rsidRDefault="008B1D6A" w:rsidP="00272841">
            <w:pPr>
              <w:pStyle w:val="TableListLevel1"/>
            </w:pPr>
            <w:r>
              <w:lastRenderedPageBreak/>
              <w:t>Includes an appointor (where relevant)</w:t>
            </w:r>
            <w:r>
              <w:rPr>
                <w:rStyle w:val="FootnoteReference"/>
              </w:rPr>
              <w:footnoteReference w:id="7"/>
            </w:r>
            <w:r>
              <w:t xml:space="preserve"> </w:t>
            </w:r>
          </w:p>
          <w:p w14:paraId="7E4D539E" w14:textId="12119A83" w:rsidR="008B1D6A" w:rsidRDefault="008B1D6A" w:rsidP="00654378">
            <w:pPr>
              <w:pStyle w:val="TableListLevel1"/>
            </w:pPr>
            <w:r>
              <w:t>Has the correct succession of the trustee (and appointor) roles based on the client’s instructions</w:t>
            </w:r>
          </w:p>
          <w:p w14:paraId="188659A9" w14:textId="29F8DB23" w:rsidR="008B1D6A" w:rsidRDefault="008B1D6A" w:rsidP="00654378">
            <w:pPr>
              <w:pStyle w:val="TableListLevel1"/>
            </w:pPr>
            <w:r w:rsidRPr="001B16F0">
              <w:t>Has considered any relevant jurisdictional issues (e.g. is any continuing trustee excluded as a beneficiary of the TT/s to access the change of trustee</w:t>
            </w:r>
            <w:r>
              <w:t xml:space="preserve"> duty exemption in NSW; foreign persons excluded and variation power amended for NSW)</w:t>
            </w:r>
          </w:p>
        </w:tc>
        <w:sdt>
          <w:sdtPr>
            <w:id w:val="189538948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52A562C" w14:textId="77777777" w:rsidR="008B1D6A" w:rsidRDefault="008B1D6A" w:rsidP="00D4088C">
                <w:pPr>
                  <w:jc w:val="center"/>
                </w:pPr>
                <w:r>
                  <w:rPr>
                    <w:rFonts w:ascii="Segoe UI Symbol" w:hAnsi="Segoe UI Symbol" w:cs="Segoe UI Symbol"/>
                  </w:rPr>
                  <w:t>☐</w:t>
                </w:r>
              </w:p>
            </w:tc>
          </w:sdtContent>
        </w:sdt>
      </w:tr>
      <w:tr w:rsidR="008B1D6A" w14:paraId="0B0FCC5E"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F34D65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DB970DD" w14:textId="77777777" w:rsidR="00B969FB" w:rsidRDefault="00B969FB" w:rsidP="00D4088C">
            <w:r>
              <w:t>In relation to the executor role:</w:t>
            </w:r>
          </w:p>
          <w:p w14:paraId="753593D8" w14:textId="3DE63F21" w:rsidR="00B969FB" w:rsidRDefault="008B1D6A" w:rsidP="00552CCF">
            <w:pPr>
              <w:pStyle w:val="TableListLevel1"/>
              <w:numPr>
                <w:ilvl w:val="0"/>
                <w:numId w:val="26"/>
              </w:numPr>
            </w:pPr>
            <w:r>
              <w:t>Confirm that the executor role has been structured in accordance with the client’s instructions</w:t>
            </w:r>
            <w:r>
              <w:rPr>
                <w:rStyle w:val="FootnoteReference"/>
              </w:rPr>
              <w:footnoteReference w:id="8"/>
            </w:r>
            <w:r w:rsidR="00B969FB">
              <w:t xml:space="preserve"> </w:t>
            </w:r>
          </w:p>
          <w:p w14:paraId="0F8AE95C" w14:textId="77777777" w:rsidR="003C4485" w:rsidRDefault="00B969FB" w:rsidP="00B969FB">
            <w:pPr>
              <w:pStyle w:val="TableListLevel1"/>
            </w:pPr>
            <w:r>
              <w:t>If an executor will be remunerated, has the testator signed a document confirming they consent to an executor receiving commission?</w:t>
            </w:r>
            <w:r>
              <w:rPr>
                <w:rStyle w:val="FootnoteReference"/>
              </w:rPr>
              <w:footnoteReference w:id="9"/>
            </w:r>
          </w:p>
          <w:p w14:paraId="4363E26C" w14:textId="41114B9B" w:rsidR="008B1D6A" w:rsidRDefault="003C4485" w:rsidP="00290724">
            <w:pPr>
              <w:pStyle w:val="TableListLevel1"/>
            </w:pPr>
            <w:r>
              <w:t xml:space="preserve">If there is a specific gift to a person acting as </w:t>
            </w:r>
            <w:r w:rsidR="00D923C4">
              <w:t xml:space="preserve">an </w:t>
            </w:r>
            <w:r>
              <w:t>executor, does the will clarify if the specific gifts is in lieu of executors commission</w:t>
            </w:r>
            <w:r w:rsidR="005A1D6F">
              <w:t xml:space="preserve"> or in addition to any commission?</w:t>
            </w:r>
          </w:p>
        </w:tc>
        <w:sdt>
          <w:sdtPr>
            <w:id w:val="5543335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9F22F5C" w14:textId="77777777" w:rsidR="008B1D6A" w:rsidRDefault="008B1D6A" w:rsidP="00D4088C">
                <w:pPr>
                  <w:jc w:val="center"/>
                </w:pPr>
                <w:r>
                  <w:rPr>
                    <w:rFonts w:ascii="Segoe UI Symbol" w:hAnsi="Segoe UI Symbol" w:cs="Segoe UI Symbol"/>
                  </w:rPr>
                  <w:t>☐</w:t>
                </w:r>
              </w:p>
            </w:tc>
          </w:sdtContent>
        </w:sdt>
      </w:tr>
      <w:tr w:rsidR="008B1D6A" w14:paraId="7724DE6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58FB3C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81FF3DC" w14:textId="0910D388" w:rsidR="008B1D6A" w:rsidRDefault="008B1D6A" w:rsidP="00D4088C">
            <w:r>
              <w:t xml:space="preserve">Confirm if guardian for minor children: </w:t>
            </w:r>
          </w:p>
          <w:p w14:paraId="0E2A73C5" w14:textId="77777777" w:rsidR="005A402B" w:rsidRDefault="008B1D6A" w:rsidP="001B6E5E">
            <w:pPr>
              <w:pStyle w:val="TableListLevel1"/>
              <w:numPr>
                <w:ilvl w:val="0"/>
                <w:numId w:val="8"/>
              </w:numPr>
            </w:pPr>
            <w:r>
              <w:t>Should be included</w:t>
            </w:r>
          </w:p>
          <w:p w14:paraId="1412D402" w14:textId="1CC35F44" w:rsidR="008B1D6A" w:rsidRDefault="008B1D6A" w:rsidP="003E264F">
            <w:pPr>
              <w:pStyle w:val="TableListLevel1"/>
            </w:pPr>
            <w:r>
              <w:t>Has been structured in accordance with the client’s instructions</w:t>
            </w:r>
          </w:p>
          <w:p w14:paraId="7E098EB9" w14:textId="1590686D" w:rsidR="008B1D6A" w:rsidRDefault="008B1D6A" w:rsidP="005A402B">
            <w:pPr>
              <w:pStyle w:val="TableListLevel1"/>
            </w:pPr>
            <w:r>
              <w:t>Attempts to ‘sidestep’ surviving biological parent (i.e. doesn’t appoint them)</w:t>
            </w:r>
            <w:r>
              <w:rPr>
                <w:rStyle w:val="FootnoteReference"/>
              </w:rPr>
              <w:footnoteReference w:id="10"/>
            </w:r>
          </w:p>
        </w:tc>
        <w:sdt>
          <w:sdtPr>
            <w:id w:val="74507431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4FB53E53" w14:textId="77777777" w:rsidR="008B1D6A" w:rsidRDefault="008B1D6A" w:rsidP="00D4088C">
                <w:pPr>
                  <w:jc w:val="center"/>
                </w:pPr>
                <w:r>
                  <w:rPr>
                    <w:rFonts w:ascii="Segoe UI Symbol" w:hAnsi="Segoe UI Symbol" w:cs="Segoe UI Symbol"/>
                  </w:rPr>
                  <w:t>☐</w:t>
                </w:r>
              </w:p>
            </w:tc>
          </w:sdtContent>
        </w:sdt>
      </w:tr>
      <w:tr w:rsidR="008B1D6A" w14:paraId="543740C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34E3F2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C73FC1D" w14:textId="54F12CBD" w:rsidR="008B1D6A" w:rsidRDefault="008B1D6A" w:rsidP="00D4088C">
            <w:r>
              <w:t>In relation to any specific gifts of personal property, confirm:</w:t>
            </w:r>
          </w:p>
          <w:p w14:paraId="39806171" w14:textId="11470E6B" w:rsidR="008B1D6A" w:rsidRDefault="008B1D6A" w:rsidP="001B6E5E">
            <w:pPr>
              <w:pStyle w:val="TableListLevel1"/>
              <w:numPr>
                <w:ilvl w:val="0"/>
                <w:numId w:val="9"/>
              </w:numPr>
            </w:pPr>
            <w:r>
              <w:t>Whether the gift is conditional upon someone surviving or having first passed away</w:t>
            </w:r>
          </w:p>
          <w:p w14:paraId="689BCC75" w14:textId="1D8A330D" w:rsidR="008B1D6A" w:rsidRDefault="008B1D6A" w:rsidP="00DE1192">
            <w:pPr>
              <w:pStyle w:val="TableListLevel1"/>
            </w:pPr>
            <w:r>
              <w:t>The gifts appear before the general personal property clause</w:t>
            </w:r>
          </w:p>
          <w:p w14:paraId="3BFFA23C" w14:textId="59D533B7" w:rsidR="008B1D6A" w:rsidRDefault="008B1D6A" w:rsidP="00DE1192">
            <w:pPr>
              <w:pStyle w:val="TableListLevel1"/>
            </w:pPr>
            <w:r>
              <w:t>The will is the most appropriate place to mention the gifts (and shouldn’t otherwise be in the letter of wishes)</w:t>
            </w:r>
          </w:p>
          <w:p w14:paraId="1F4A0C69" w14:textId="70F1DD1D" w:rsidR="008B1D6A" w:rsidRDefault="008B1D6A" w:rsidP="00DE1192">
            <w:pPr>
              <w:pStyle w:val="TableListLevel1"/>
            </w:pPr>
            <w:r>
              <w:t xml:space="preserve">They have been structured in accordance with the client’s instructions (including whether </w:t>
            </w:r>
            <w:proofErr w:type="spellStart"/>
            <w:r>
              <w:t>giftover</w:t>
            </w:r>
            <w:proofErr w:type="spellEnd"/>
            <w:r>
              <w:t xml:space="preserve"> provision should apply)</w:t>
            </w:r>
          </w:p>
          <w:p w14:paraId="10F88FA6" w14:textId="77777777" w:rsidR="008B1D6A" w:rsidRDefault="008B1D6A" w:rsidP="00DE1192">
            <w:pPr>
              <w:pStyle w:val="TableListLevel1"/>
            </w:pPr>
            <w:r>
              <w:t xml:space="preserve">That you have specifically reviewed the definition of Personal Belongings and checked that there are no assets which would fall within this </w:t>
            </w:r>
            <w:r>
              <w:lastRenderedPageBreak/>
              <w:t>definition which should instead be gifted within the Residue or as a Specific Gift (for example: valuable motor vehicles, boats, caravans etc)</w:t>
            </w:r>
          </w:p>
          <w:p w14:paraId="38D3BCA9" w14:textId="788880A3" w:rsidR="008B1D6A" w:rsidRDefault="008B1D6A" w:rsidP="00DE1192">
            <w:pPr>
              <w:pStyle w:val="TableListLevel1"/>
            </w:pPr>
            <w:r>
              <w:t>If there is any debt associated with any Personal Belongings that the client is comfortable for the debt to be paid from the Residual Estate</w:t>
            </w:r>
          </w:p>
        </w:tc>
        <w:sdt>
          <w:sdtPr>
            <w:id w:val="186393536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2DF968D3" w14:textId="77777777" w:rsidR="008B1D6A" w:rsidRDefault="008B1D6A" w:rsidP="00D4088C">
                <w:pPr>
                  <w:jc w:val="center"/>
                </w:pPr>
                <w:r>
                  <w:rPr>
                    <w:rFonts w:ascii="Segoe UI Symbol" w:hAnsi="Segoe UI Symbol" w:cs="Segoe UI Symbol"/>
                  </w:rPr>
                  <w:t>☐</w:t>
                </w:r>
              </w:p>
            </w:tc>
          </w:sdtContent>
        </w:sdt>
      </w:tr>
      <w:tr w:rsidR="008B1D6A" w14:paraId="5CBCD419"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0A9C45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BE6BA6D" w14:textId="2BD8A11E" w:rsidR="008B1D6A" w:rsidRDefault="008B1D6A" w:rsidP="00D4088C">
            <w:r>
              <w:t xml:space="preserve">Confirm if there are other specific gifts (not of personal property) have been structured in accordance with the client’s instructions (including whether </w:t>
            </w:r>
            <w:proofErr w:type="spellStart"/>
            <w:r>
              <w:t>giftover</w:t>
            </w:r>
            <w:proofErr w:type="spellEnd"/>
            <w:r>
              <w:t xml:space="preserve"> provision should apply), or should be added, including: </w:t>
            </w:r>
          </w:p>
          <w:p w14:paraId="21B58840" w14:textId="77777777" w:rsidR="008B1D6A" w:rsidRDefault="008B1D6A" w:rsidP="001B6E5E">
            <w:pPr>
              <w:pStyle w:val="TableListLevel1"/>
              <w:numPr>
                <w:ilvl w:val="0"/>
                <w:numId w:val="10"/>
              </w:numPr>
            </w:pPr>
            <w:r>
              <w:t>Gifts of shares in corporate trustee companies</w:t>
            </w:r>
          </w:p>
          <w:p w14:paraId="2593C02D" w14:textId="6C1C2FEE" w:rsidR="008B1D6A" w:rsidRDefault="001F61D6" w:rsidP="000E14B1">
            <w:pPr>
              <w:pStyle w:val="TableListLevel1"/>
            </w:pPr>
            <w:r w:rsidRPr="00805002">
              <w:rPr>
                <w:rFonts w:cs="Calibri"/>
                <w:highlight w:val="cyan"/>
              </w:rPr>
              <w:t>[#if couple]</w:t>
            </w:r>
            <w:r>
              <w:rPr>
                <w:rFonts w:cs="Calibri"/>
              </w:rPr>
              <w:t xml:space="preserve"> </w:t>
            </w:r>
            <w:r w:rsidR="008B1D6A">
              <w:t xml:space="preserve">Specific gift of main residence to surviving spouse if all or part of the main residence is owned by the testator and they do not wish for the property to pass to a testamentary trust </w:t>
            </w:r>
          </w:p>
          <w:p w14:paraId="3DFB2835" w14:textId="5B8B78CE" w:rsidR="008B1D6A" w:rsidRDefault="001F61D6" w:rsidP="000E14B1">
            <w:pPr>
              <w:pStyle w:val="TableListLevel1"/>
            </w:pPr>
            <w:r w:rsidRPr="00805002">
              <w:rPr>
                <w:rFonts w:cs="Calibri"/>
                <w:highlight w:val="cyan"/>
              </w:rPr>
              <w:t>[#if couple]</w:t>
            </w:r>
            <w:r>
              <w:rPr>
                <w:rFonts w:cs="Calibri"/>
              </w:rPr>
              <w:t xml:space="preserve"> </w:t>
            </w:r>
            <w:r w:rsidR="008B1D6A">
              <w:t xml:space="preserve">Right to </w:t>
            </w:r>
            <w:r w:rsidR="007863D1">
              <w:t xml:space="preserve">occupy </w:t>
            </w:r>
            <w:r w:rsidR="008B1D6A">
              <w:t xml:space="preserve">in the main residence is granted to a surviving spouse (or other beneficiary) if all or part of the main residence is owned by the testator solely and they do wish for the property to pass to a testamentary trust </w:t>
            </w:r>
          </w:p>
          <w:p w14:paraId="61B8762D" w14:textId="6E3B4B1B" w:rsidR="008B1D6A" w:rsidRDefault="008B1D6A" w:rsidP="000E14B1">
            <w:pPr>
              <w:pStyle w:val="TableListLevel1"/>
            </w:pPr>
            <w:r>
              <w:t>Gifts of superannuation or life insurance proceeds (and if the intention is that these proceeds will be used to discharge debt, that the required wording is used)</w:t>
            </w:r>
            <w:r>
              <w:rPr>
                <w:rStyle w:val="FootnoteReference"/>
              </w:rPr>
              <w:footnoteReference w:id="11"/>
            </w:r>
            <w:r>
              <w:t xml:space="preserve"> </w:t>
            </w:r>
          </w:p>
          <w:p w14:paraId="70BE70AD" w14:textId="1D2024C2" w:rsidR="008B1D6A" w:rsidRDefault="008B1D6A" w:rsidP="000E14B1">
            <w:pPr>
              <w:pStyle w:val="TableListLevel1"/>
            </w:pPr>
            <w:r>
              <w:t xml:space="preserve">Clauses to address loans to children or third parties </w:t>
            </w:r>
          </w:p>
          <w:p w14:paraId="1BBBDF54" w14:textId="012E1AE8" w:rsidR="008B1D6A" w:rsidRDefault="008B1D6A" w:rsidP="000E14B1">
            <w:pPr>
              <w:pStyle w:val="TableListLevel1"/>
            </w:pPr>
            <w:r>
              <w:t xml:space="preserve">Gifts to equalise inter </w:t>
            </w:r>
            <w:proofErr w:type="spellStart"/>
            <w:r>
              <w:t>vivos</w:t>
            </w:r>
            <w:proofErr w:type="spellEnd"/>
            <w:r>
              <w:t xml:space="preserve"> gifts or other gifts in the will</w:t>
            </w:r>
            <w:r>
              <w:rPr>
                <w:rStyle w:val="FootnoteReference"/>
              </w:rPr>
              <w:footnoteReference w:id="12"/>
            </w:r>
          </w:p>
          <w:p w14:paraId="18FFBA08" w14:textId="59A0E63F" w:rsidR="008B1D6A" w:rsidRDefault="008B1D6A" w:rsidP="000E14B1">
            <w:pPr>
              <w:pStyle w:val="TableListLevel1"/>
            </w:pPr>
            <w:r>
              <w:t>Forgiveness or assignment of any loans or UPEs</w:t>
            </w:r>
            <w:r>
              <w:rPr>
                <w:rStyle w:val="FootnoteReference"/>
              </w:rPr>
              <w:footnoteReference w:id="13"/>
            </w:r>
            <w:r>
              <w:t xml:space="preserve"> </w:t>
            </w:r>
          </w:p>
          <w:p w14:paraId="67B7C736" w14:textId="0E96D132" w:rsidR="008B1D6A" w:rsidRDefault="008B1D6A" w:rsidP="00D4088C">
            <w:r>
              <w:t>For each specific gift, consider:</w:t>
            </w:r>
          </w:p>
          <w:p w14:paraId="12CB8689" w14:textId="2574CDC8" w:rsidR="008B1D6A" w:rsidRDefault="008B1D6A" w:rsidP="001B6E5E">
            <w:pPr>
              <w:pStyle w:val="TableListLevel1"/>
              <w:numPr>
                <w:ilvl w:val="0"/>
                <w:numId w:val="11"/>
              </w:numPr>
            </w:pPr>
            <w:r>
              <w:t xml:space="preserve">If the gift is to an individual, whether the </w:t>
            </w:r>
            <w:proofErr w:type="spellStart"/>
            <w:r>
              <w:t>giftover</w:t>
            </w:r>
            <w:proofErr w:type="spellEnd"/>
            <w:r>
              <w:t xml:space="preserve"> provision should or should not apply</w:t>
            </w:r>
          </w:p>
          <w:p w14:paraId="30138863" w14:textId="77777777" w:rsidR="008B1D6A" w:rsidRDefault="008B1D6A" w:rsidP="000E14B1">
            <w:pPr>
              <w:pStyle w:val="TableListLevel1"/>
            </w:pPr>
            <w:r>
              <w:t>Whether the gift should be to a beneficiary directly or via a testamentary trust</w:t>
            </w:r>
          </w:p>
          <w:p w14:paraId="49570FEF" w14:textId="77777777" w:rsidR="008B1D6A" w:rsidRDefault="008B1D6A" w:rsidP="000E14B1">
            <w:pPr>
              <w:pStyle w:val="TableListLevel1"/>
            </w:pPr>
            <w:r>
              <w:t xml:space="preserve">If the gift is to an entity, include a </w:t>
            </w:r>
            <w:proofErr w:type="spellStart"/>
            <w:r>
              <w:t>giftover</w:t>
            </w:r>
            <w:proofErr w:type="spellEnd"/>
            <w:r>
              <w:t xml:space="preserve"> clause to an individual in case the entity does not exist at the testator’s death</w:t>
            </w:r>
          </w:p>
          <w:p w14:paraId="689E0D6F" w14:textId="42C45AB7" w:rsidR="008B1D6A" w:rsidRDefault="008B1D6A" w:rsidP="000E14B1">
            <w:pPr>
              <w:pStyle w:val="TableListLevel1"/>
            </w:pPr>
            <w:r>
              <w:t>If the gift recipient is multiple beneficiaries that you have drafted it clearly so that each beneficiary takes their discrete interest as a tenant in common and the gift is not shared as joint tenants</w:t>
            </w:r>
          </w:p>
        </w:tc>
        <w:sdt>
          <w:sdtPr>
            <w:id w:val="91698639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2763ADC" w14:textId="77777777" w:rsidR="008B1D6A" w:rsidRDefault="008B1D6A" w:rsidP="00D4088C">
                <w:pPr>
                  <w:jc w:val="center"/>
                </w:pPr>
                <w:r>
                  <w:rPr>
                    <w:rFonts w:ascii="Segoe UI Symbol" w:hAnsi="Segoe UI Symbol" w:cs="Segoe UI Symbol"/>
                  </w:rPr>
                  <w:t>☐</w:t>
                </w:r>
              </w:p>
            </w:tc>
          </w:sdtContent>
        </w:sdt>
      </w:tr>
      <w:tr w:rsidR="008B1D6A" w14:paraId="321542D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72CF0A3"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4B1029F" w14:textId="7BDEA355" w:rsidR="008B1D6A" w:rsidRDefault="008B1D6A" w:rsidP="00D4088C">
            <w:r>
              <w:t>If a specific gift is a gift of cash:</w:t>
            </w:r>
          </w:p>
          <w:p w14:paraId="45BE7E87" w14:textId="77777777" w:rsidR="008B1D6A" w:rsidRDefault="008B1D6A" w:rsidP="001B6E5E">
            <w:pPr>
              <w:pStyle w:val="TableListLevel1"/>
              <w:numPr>
                <w:ilvl w:val="0"/>
                <w:numId w:val="12"/>
              </w:numPr>
            </w:pPr>
            <w:r>
              <w:t>Should this be indexed</w:t>
            </w:r>
          </w:p>
          <w:p w14:paraId="29AEA7E3" w14:textId="19959464" w:rsidR="008B1D6A" w:rsidRDefault="00333B2B" w:rsidP="001B6E5E">
            <w:pPr>
              <w:pStyle w:val="TableListLevel1"/>
            </w:pPr>
            <w:r w:rsidRPr="00805002">
              <w:rPr>
                <w:rFonts w:cs="Calibri"/>
                <w:highlight w:val="cyan"/>
              </w:rPr>
              <w:t>[#if couple]</w:t>
            </w:r>
            <w:r>
              <w:rPr>
                <w:rFonts w:cs="Calibri"/>
              </w:rPr>
              <w:t xml:space="preserve"> </w:t>
            </w:r>
            <w:r w:rsidR="008B1D6A">
              <w:t xml:space="preserve">If you are preparing mirror image wills for a couple which includes cash gifts, that </w:t>
            </w:r>
            <w:proofErr w:type="gramStart"/>
            <w:r w:rsidR="008B1D6A">
              <w:t>it is clear that the</w:t>
            </w:r>
            <w:proofErr w:type="gramEnd"/>
            <w:r w:rsidR="008B1D6A">
              <w:t xml:space="preserve"> cash gifts are to be paid once and not from both estates</w:t>
            </w:r>
          </w:p>
        </w:tc>
        <w:sdt>
          <w:sdtPr>
            <w:id w:val="99892586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C6B7932" w14:textId="045A8E2A" w:rsidR="008B1D6A" w:rsidRDefault="008B1D6A" w:rsidP="00D4088C">
                <w:pPr>
                  <w:jc w:val="center"/>
                </w:pPr>
                <w:r>
                  <w:rPr>
                    <w:rFonts w:ascii="Segoe UI Symbol" w:hAnsi="Segoe UI Symbol" w:cs="Segoe UI Symbol"/>
                  </w:rPr>
                  <w:t>☐</w:t>
                </w:r>
              </w:p>
            </w:tc>
          </w:sdtContent>
        </w:sdt>
      </w:tr>
      <w:tr w:rsidR="008B1D6A" w14:paraId="35438EC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C5A8B4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51EA9EF" w14:textId="02186154" w:rsidR="008B1D6A" w:rsidRDefault="008B1D6A" w:rsidP="00D4088C">
            <w:r>
              <w:t>Confirm if any specific gifts that have debt or embedded liabilities (e.g. mortgage, CGT, FIRB application costs) attached to them should be drafted so the gift passes free from that debt</w:t>
            </w:r>
            <w:r>
              <w:rPr>
                <w:rStyle w:val="FootnoteReference"/>
              </w:rPr>
              <w:footnoteReference w:id="14"/>
            </w:r>
          </w:p>
        </w:tc>
        <w:sdt>
          <w:sdtPr>
            <w:id w:val="16991674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46A18BB" w14:textId="30EE96A2" w:rsidR="008B1D6A" w:rsidRDefault="008B1D6A" w:rsidP="00D4088C">
                <w:pPr>
                  <w:jc w:val="center"/>
                </w:pPr>
                <w:r>
                  <w:rPr>
                    <w:rFonts w:ascii="Segoe UI Symbol" w:hAnsi="Segoe UI Symbol" w:cs="Segoe UI Symbol"/>
                  </w:rPr>
                  <w:t>☐</w:t>
                </w:r>
              </w:p>
            </w:tc>
          </w:sdtContent>
        </w:sdt>
      </w:tr>
      <w:tr w:rsidR="008B1D6A" w14:paraId="5DC74366"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9C1BB1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321BC8A" w14:textId="389D6894" w:rsidR="008B1D6A" w:rsidRDefault="008B1D6A" w:rsidP="00D4088C">
            <w:r>
              <w:t>Confirm if the gift of residuary estate has been structured in accordance with the client’s instructions including:</w:t>
            </w:r>
          </w:p>
          <w:p w14:paraId="504AE4D4" w14:textId="77777777" w:rsidR="008B1D6A" w:rsidRDefault="008B1D6A" w:rsidP="001B6E5E">
            <w:pPr>
              <w:pStyle w:val="TableListLevel1"/>
              <w:numPr>
                <w:ilvl w:val="0"/>
                <w:numId w:val="13"/>
              </w:numPr>
            </w:pPr>
            <w:r>
              <w:t>Whether TTs are included</w:t>
            </w:r>
          </w:p>
          <w:p w14:paraId="64398C07" w14:textId="23DC4119" w:rsidR="008B1D6A" w:rsidRDefault="001F61D6" w:rsidP="000E14B1">
            <w:pPr>
              <w:pStyle w:val="TableListLevel1"/>
            </w:pPr>
            <w:r w:rsidRPr="00805002">
              <w:rPr>
                <w:rFonts w:cs="Calibri"/>
                <w:highlight w:val="cyan"/>
              </w:rPr>
              <w:t>[#if couple]</w:t>
            </w:r>
            <w:r>
              <w:rPr>
                <w:rFonts w:cs="Calibri"/>
              </w:rPr>
              <w:t xml:space="preserve"> </w:t>
            </w:r>
            <w:r w:rsidR="008B1D6A">
              <w:t>Whether there should first be an outright gift of the residuary estate to the surviving spouse (and ensure this is reflected in the TT summary)</w:t>
            </w:r>
          </w:p>
          <w:p w14:paraId="0EBDE1C8" w14:textId="69EC3312" w:rsidR="008B1D6A" w:rsidRDefault="008B1D6A" w:rsidP="000E14B1">
            <w:pPr>
              <w:pStyle w:val="TableListLevel1"/>
            </w:pPr>
            <w:r>
              <w:t xml:space="preserve">Whether the </w:t>
            </w:r>
            <w:proofErr w:type="spellStart"/>
            <w:r>
              <w:t>giftover</w:t>
            </w:r>
            <w:proofErr w:type="spellEnd"/>
            <w:r>
              <w:t xml:space="preserve"> provision should apply to any gifts to individuals</w:t>
            </w:r>
          </w:p>
          <w:p w14:paraId="258B6516" w14:textId="6B9F28EA" w:rsidR="008B1D6A" w:rsidRDefault="008B1D6A" w:rsidP="000E14B1">
            <w:pPr>
              <w:pStyle w:val="TableListLevel1"/>
            </w:pPr>
            <w:r>
              <w:t>Whether the gift is conditional upon someone surviving (including gifts to TTs)</w:t>
            </w:r>
          </w:p>
          <w:p w14:paraId="68CB09E1" w14:textId="5B487770" w:rsidR="008B1D6A" w:rsidRDefault="007A071D" w:rsidP="000E14B1">
            <w:pPr>
              <w:pStyle w:val="TableListLevel1"/>
            </w:pPr>
            <w:r w:rsidRPr="00805002">
              <w:rPr>
                <w:rFonts w:cs="Calibri"/>
                <w:highlight w:val="cyan"/>
              </w:rPr>
              <w:t>[#if couple]</w:t>
            </w:r>
            <w:r>
              <w:rPr>
                <w:rFonts w:cs="Calibri"/>
              </w:rPr>
              <w:t xml:space="preserve"> </w:t>
            </w:r>
            <w:r w:rsidR="008B1D6A">
              <w:t>Whether the ‘Existing Testamentary Trust’ clauses should be included</w:t>
            </w:r>
            <w:r w:rsidR="008B1D6A">
              <w:rPr>
                <w:rStyle w:val="FootnoteReference"/>
              </w:rPr>
              <w:footnoteReference w:id="15"/>
            </w:r>
          </w:p>
          <w:p w14:paraId="146BDC7A" w14:textId="704ACBCF" w:rsidR="008B1D6A" w:rsidRDefault="001F61D6" w:rsidP="000E14B1">
            <w:pPr>
              <w:pStyle w:val="TableListLevel1"/>
            </w:pPr>
            <w:r w:rsidRPr="00805002">
              <w:rPr>
                <w:rFonts w:cs="Calibri"/>
                <w:highlight w:val="cyan"/>
              </w:rPr>
              <w:t>[#if couple]</w:t>
            </w:r>
            <w:r>
              <w:rPr>
                <w:rFonts w:cs="Calibri"/>
              </w:rPr>
              <w:t xml:space="preserve"> </w:t>
            </w:r>
            <w:r w:rsidR="008B1D6A">
              <w:t xml:space="preserve">Whether the 30 day survivorship rule should be expressly stated to not apply </w:t>
            </w:r>
            <w:r w:rsidR="008B1D6A">
              <w:rPr>
                <w:rStyle w:val="FootnoteReference"/>
              </w:rPr>
              <w:footnoteReference w:id="16"/>
            </w:r>
          </w:p>
        </w:tc>
        <w:sdt>
          <w:sdtPr>
            <w:id w:val="73373391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08F5EE65" w14:textId="77777777" w:rsidR="008B1D6A" w:rsidRDefault="008B1D6A" w:rsidP="00D4088C">
                <w:pPr>
                  <w:jc w:val="center"/>
                </w:pPr>
                <w:r>
                  <w:rPr>
                    <w:rFonts w:ascii="Segoe UI Symbol" w:hAnsi="Segoe UI Symbol" w:cs="Segoe UI Symbol"/>
                  </w:rPr>
                  <w:t>☐</w:t>
                </w:r>
              </w:p>
            </w:tc>
          </w:sdtContent>
        </w:sdt>
      </w:tr>
      <w:tr w:rsidR="008B1D6A" w14:paraId="244A78C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98DA687"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0718E6D" w14:textId="6832A26A" w:rsidR="008B1D6A" w:rsidRDefault="008B1D6A" w:rsidP="00D4088C">
            <w:r>
              <w:t>If the residuary estate is divided between more than one beneficiary:</w:t>
            </w:r>
          </w:p>
          <w:p w14:paraId="5F71B46D" w14:textId="48980C63" w:rsidR="008B1D6A" w:rsidRDefault="008B1D6A" w:rsidP="001B6E5E">
            <w:pPr>
              <w:pStyle w:val="TableListLevel1"/>
              <w:numPr>
                <w:ilvl w:val="0"/>
                <w:numId w:val="14"/>
              </w:numPr>
            </w:pPr>
            <w:r>
              <w:t>Do the percentages/fractions add up to 100%/1</w:t>
            </w:r>
          </w:p>
          <w:p w14:paraId="2823A8B8" w14:textId="3C8680CF" w:rsidR="008B1D6A" w:rsidRDefault="008B1D6A" w:rsidP="000E14B1">
            <w:pPr>
              <w:pStyle w:val="TableListLevel1"/>
            </w:pPr>
            <w:r>
              <w:t>Is the correct ‘failure of gift’ clause included</w:t>
            </w:r>
            <w:r>
              <w:rPr>
                <w:rStyle w:val="FootnoteReference"/>
              </w:rPr>
              <w:footnoteReference w:id="17"/>
            </w:r>
          </w:p>
        </w:tc>
        <w:sdt>
          <w:sdtPr>
            <w:id w:val="-18319028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B0C5CA1" w14:textId="77777777" w:rsidR="008B1D6A" w:rsidRDefault="008B1D6A" w:rsidP="00D4088C">
                <w:pPr>
                  <w:jc w:val="center"/>
                </w:pPr>
                <w:r>
                  <w:rPr>
                    <w:rFonts w:ascii="Segoe UI Symbol" w:hAnsi="Segoe UI Symbol" w:cs="Segoe UI Symbol"/>
                  </w:rPr>
                  <w:t>☐</w:t>
                </w:r>
              </w:p>
            </w:tc>
          </w:sdtContent>
        </w:sdt>
      </w:tr>
      <w:tr w:rsidR="008B1D6A" w14:paraId="0C6A570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2CFA649"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47DF3E4" w14:textId="77777777" w:rsidR="006A2D0C" w:rsidRDefault="006A2D0C" w:rsidP="00D4088C">
            <w:r>
              <w:t>When drafting the calamity clause (if any):</w:t>
            </w:r>
          </w:p>
          <w:p w14:paraId="6E078627" w14:textId="221D4995" w:rsidR="000B5087" w:rsidRDefault="008B1D6A" w:rsidP="000B5087">
            <w:pPr>
              <w:pStyle w:val="TableListLevel1"/>
              <w:numPr>
                <w:ilvl w:val="0"/>
                <w:numId w:val="24"/>
              </w:numPr>
            </w:pPr>
            <w:r>
              <w:t xml:space="preserve">Has </w:t>
            </w:r>
            <w:r w:rsidR="000B5087">
              <w:t>this</w:t>
            </w:r>
            <w:r>
              <w:t xml:space="preserve"> been structured in accordance with the client’s instructions (see notes above for specific issues)</w:t>
            </w:r>
          </w:p>
          <w:p w14:paraId="58079672" w14:textId="589CABA0" w:rsidR="000B5087" w:rsidRDefault="000B5087" w:rsidP="00290724">
            <w:pPr>
              <w:pStyle w:val="TableListLevel1"/>
              <w:numPr>
                <w:ilvl w:val="0"/>
                <w:numId w:val="24"/>
              </w:numPr>
            </w:pPr>
            <w:r>
              <w:t>Have you considered the interaction between this and the ‘default capital’ clause</w:t>
            </w:r>
            <w:r w:rsidR="000D557E">
              <w:t xml:space="preserve"> (particularly if these people are foreign persons and the TT excludes foreign persons</w:t>
            </w:r>
            <w:r w:rsidR="005A1D6F">
              <w:t>)</w:t>
            </w:r>
            <w:r>
              <w:rPr>
                <w:rStyle w:val="FootnoteReference"/>
              </w:rPr>
              <w:footnoteReference w:id="18"/>
            </w:r>
          </w:p>
        </w:tc>
        <w:sdt>
          <w:sdtPr>
            <w:id w:val="164361599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362389CD" w14:textId="77777777" w:rsidR="008B1D6A" w:rsidRDefault="008B1D6A" w:rsidP="00D4088C">
                <w:pPr>
                  <w:jc w:val="center"/>
                </w:pPr>
                <w:r>
                  <w:rPr>
                    <w:rFonts w:ascii="Segoe UI Symbol" w:hAnsi="Segoe UI Symbol" w:cs="Segoe UI Symbol"/>
                  </w:rPr>
                  <w:t>☐</w:t>
                </w:r>
              </w:p>
            </w:tc>
          </w:sdtContent>
        </w:sdt>
      </w:tr>
      <w:tr w:rsidR="008B1D6A" w14:paraId="259198B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84C67D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74FD48C" w14:textId="332B1EE1" w:rsidR="008B1D6A" w:rsidRDefault="008B1D6A" w:rsidP="00D4088C">
            <w:r>
              <w:t>Is the power to ‘bypass’ the TT(s) appropriately drafted?</w:t>
            </w:r>
            <w:r>
              <w:rPr>
                <w:rStyle w:val="FootnoteReference"/>
              </w:rPr>
              <w:footnoteReference w:id="19"/>
            </w:r>
            <w:r>
              <w:t xml:space="preserve"> </w:t>
            </w:r>
          </w:p>
          <w:p w14:paraId="4E659EC1" w14:textId="45940272" w:rsidR="008B1D6A" w:rsidRDefault="008B1D6A" w:rsidP="00D4088C">
            <w:r>
              <w:t>Consider carefully who should be able to consent to this in the context of the definitions of Nominated Beneficiary and Primary Beneficiary and who their administrator or guardian may be at the relevant time</w:t>
            </w:r>
          </w:p>
        </w:tc>
        <w:sdt>
          <w:sdtPr>
            <w:id w:val="-7799586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B88437B" w14:textId="558A6734" w:rsidR="008B1D6A" w:rsidRDefault="008B1D6A" w:rsidP="00D4088C">
                <w:pPr>
                  <w:jc w:val="center"/>
                </w:pPr>
                <w:r>
                  <w:rPr>
                    <w:rFonts w:ascii="Segoe UI Symbol" w:hAnsi="Segoe UI Symbol" w:cs="Segoe UI Symbol"/>
                  </w:rPr>
                  <w:t>☐</w:t>
                </w:r>
              </w:p>
            </w:tc>
          </w:sdtContent>
        </w:sdt>
      </w:tr>
      <w:tr w:rsidR="008B1D6A" w14:paraId="4D0D439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3CFD70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6DF786C3" w14:textId="46389599" w:rsidR="008B1D6A" w:rsidRDefault="008B1D6A" w:rsidP="00D4088C">
            <w:r>
              <w:t>Is the default Special Disability Trust clause appropriate</w:t>
            </w:r>
            <w:r>
              <w:rPr>
                <w:rStyle w:val="FootnoteReference"/>
              </w:rPr>
              <w:footnoteReference w:id="20"/>
            </w:r>
          </w:p>
        </w:tc>
        <w:sdt>
          <w:sdtPr>
            <w:id w:val="193432032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BF9E684" w14:textId="539DBCB5" w:rsidR="008B1D6A" w:rsidRDefault="008B1D6A" w:rsidP="00D4088C">
                <w:pPr>
                  <w:jc w:val="center"/>
                </w:pPr>
                <w:r>
                  <w:rPr>
                    <w:rFonts w:ascii="Segoe UI Symbol" w:hAnsi="Segoe UI Symbol" w:cs="Segoe UI Symbol"/>
                  </w:rPr>
                  <w:t>☐</w:t>
                </w:r>
              </w:p>
            </w:tc>
          </w:sdtContent>
        </w:sdt>
      </w:tr>
      <w:tr w:rsidR="008B1D6A" w14:paraId="689F729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76DCF09"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BB47580" w14:textId="577966E9" w:rsidR="008B1D6A" w:rsidRDefault="008B1D6A" w:rsidP="00D4088C">
            <w:r>
              <w:t>Have you considered whether the boiler plate clauses, particularly Part D ‘Directions for my Executor’ are appropriate in the circumstances</w:t>
            </w:r>
            <w:r>
              <w:rPr>
                <w:rStyle w:val="FootnoteReference"/>
              </w:rPr>
              <w:footnoteReference w:id="21"/>
            </w:r>
          </w:p>
        </w:tc>
        <w:sdt>
          <w:sdtPr>
            <w:id w:val="-211188182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50C6C32" w14:textId="0CDF5D83" w:rsidR="008B1D6A" w:rsidRDefault="008B1D6A" w:rsidP="00D4088C">
                <w:pPr>
                  <w:jc w:val="center"/>
                </w:pPr>
                <w:r>
                  <w:rPr>
                    <w:rFonts w:ascii="Segoe UI Symbol" w:hAnsi="Segoe UI Symbol" w:cs="Segoe UI Symbol"/>
                  </w:rPr>
                  <w:t>☐</w:t>
                </w:r>
              </w:p>
            </w:tc>
          </w:sdtContent>
        </w:sdt>
      </w:tr>
      <w:tr w:rsidR="008B1D6A" w14:paraId="17A38EC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5515543"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C6F013B" w14:textId="7AAC76AA" w:rsidR="008B1D6A" w:rsidRDefault="008B1D6A" w:rsidP="00D4088C">
            <w:r>
              <w:t>Confirm if the Governing Jurisdiction is appropriate</w:t>
            </w:r>
          </w:p>
        </w:tc>
        <w:sdt>
          <w:sdtPr>
            <w:id w:val="62050760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98F4053" w14:textId="4E2DE352" w:rsidR="008B1D6A" w:rsidRDefault="008B1D6A" w:rsidP="00D4088C">
                <w:pPr>
                  <w:jc w:val="center"/>
                </w:pPr>
                <w:r>
                  <w:rPr>
                    <w:rFonts w:ascii="Segoe UI Symbol" w:hAnsi="Segoe UI Symbol" w:cs="Segoe UI Symbol"/>
                  </w:rPr>
                  <w:t>☐</w:t>
                </w:r>
              </w:p>
            </w:tc>
          </w:sdtContent>
        </w:sdt>
      </w:tr>
      <w:tr w:rsidR="008B1D6A" w14:paraId="416A409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D4936D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698EA40" w14:textId="5C40CEC5" w:rsidR="008B1D6A" w:rsidRDefault="008B1D6A" w:rsidP="00D4088C">
            <w:r>
              <w:t>Are the definitions appropriate? Consider:</w:t>
            </w:r>
          </w:p>
          <w:p w14:paraId="01D419D0" w14:textId="09BC8C3D" w:rsidR="008B1D6A" w:rsidRDefault="008B1D6A" w:rsidP="001B6E5E">
            <w:pPr>
              <w:pStyle w:val="TableListLevel1"/>
              <w:numPr>
                <w:ilvl w:val="0"/>
                <w:numId w:val="15"/>
              </w:numPr>
            </w:pPr>
            <w:r>
              <w:t xml:space="preserve">If the definition of appointor: </w:t>
            </w:r>
          </w:p>
          <w:p w14:paraId="40EEF9A8" w14:textId="77777777" w:rsidR="008B1D6A" w:rsidRDefault="008B1D6A" w:rsidP="00A64ACD">
            <w:pPr>
              <w:pStyle w:val="TableListLevel2"/>
            </w:pPr>
            <w:r w:rsidRPr="00A64ACD">
              <w:t>matches</w:t>
            </w:r>
            <w:r>
              <w:t xml:space="preserve"> the clients instructions</w:t>
            </w:r>
          </w:p>
          <w:p w14:paraId="52362F5A" w14:textId="416BE5D2" w:rsidR="008B1D6A" w:rsidRDefault="008B1D6A" w:rsidP="001B16F0">
            <w:pPr>
              <w:pStyle w:val="TableListLevel2"/>
            </w:pPr>
            <w:r>
              <w:t>matches the summary at the top of the will</w:t>
            </w:r>
          </w:p>
          <w:p w14:paraId="60633F55" w14:textId="4E3FF426" w:rsidR="008B1D6A" w:rsidRDefault="008B1D6A" w:rsidP="00A64ACD">
            <w:pPr>
              <w:pStyle w:val="TableListLevel1"/>
            </w:pPr>
            <w:r>
              <w:t>Is the definition of ‘Child’ appropriate in the circumstances</w:t>
            </w:r>
            <w:r>
              <w:rPr>
                <w:rStyle w:val="FootnoteReference"/>
              </w:rPr>
              <w:footnoteReference w:id="22"/>
            </w:r>
          </w:p>
          <w:p w14:paraId="615038B8" w14:textId="06862F46" w:rsidR="008B1D6A" w:rsidRDefault="008B1D6A" w:rsidP="00A64ACD">
            <w:pPr>
              <w:pStyle w:val="TableListLevel1"/>
            </w:pPr>
            <w:r>
              <w:t>Is the definition of ‘Disqualification Trigger’ appropriate in the circumstances</w:t>
            </w:r>
            <w:r>
              <w:rPr>
                <w:rStyle w:val="FootnoteReference"/>
              </w:rPr>
              <w:footnoteReference w:id="23"/>
            </w:r>
            <w:r>
              <w:t xml:space="preserve"> </w:t>
            </w:r>
          </w:p>
          <w:p w14:paraId="28EB5295" w14:textId="4B6CE66B" w:rsidR="008B1D6A" w:rsidRDefault="00A80780" w:rsidP="00A64ACD">
            <w:pPr>
              <w:pStyle w:val="TableListLevel1"/>
            </w:pPr>
            <w:r w:rsidRPr="00805002">
              <w:rPr>
                <w:rFonts w:cs="Calibri"/>
                <w:highlight w:val="cyan"/>
              </w:rPr>
              <w:t>[#if couple]</w:t>
            </w:r>
            <w:r>
              <w:rPr>
                <w:rFonts w:cs="Calibri"/>
              </w:rPr>
              <w:t xml:space="preserve"> </w:t>
            </w:r>
            <w:r w:rsidR="008B1D6A">
              <w:t>Should the definition of ‘Existing Testamentary Trust’ be removed? See notes above on this</w:t>
            </w:r>
          </w:p>
          <w:p w14:paraId="58F7FFF0" w14:textId="12A9BB29" w:rsidR="008B1D6A" w:rsidRDefault="008B1D6A" w:rsidP="00A64ACD">
            <w:pPr>
              <w:pStyle w:val="TableListLevel1"/>
            </w:pPr>
            <w:r>
              <w:t>Is the definition of ‘Foreign Person’ appropriate in the circumstances</w:t>
            </w:r>
            <w:r>
              <w:rPr>
                <w:rStyle w:val="FootnoteReference"/>
              </w:rPr>
              <w:footnoteReference w:id="24"/>
            </w:r>
          </w:p>
          <w:p w14:paraId="4FD9C821" w14:textId="215CA673" w:rsidR="008B1D6A" w:rsidRDefault="008B1D6A" w:rsidP="00A64ACD">
            <w:pPr>
              <w:pStyle w:val="TableListLevel1"/>
            </w:pPr>
            <w:r>
              <w:t>If definitions of Nominated Beneficiary and Primary Beneficiaries are appropriate.</w:t>
            </w:r>
            <w:r>
              <w:rPr>
                <w:rStyle w:val="FootnoteReference"/>
              </w:rPr>
              <w:footnoteReference w:id="25"/>
            </w:r>
            <w:r>
              <w:t xml:space="preserve"> See specific comments below</w:t>
            </w:r>
          </w:p>
          <w:p w14:paraId="0E97C339" w14:textId="7A6A5CA5" w:rsidR="008B1D6A" w:rsidRDefault="008B1D6A" w:rsidP="00A64ACD">
            <w:pPr>
              <w:pStyle w:val="TableListLevel1"/>
            </w:pPr>
            <w:r>
              <w:t>If definition of ‘Personal Property’ is appropriate</w:t>
            </w:r>
            <w:r>
              <w:rPr>
                <w:rStyle w:val="FootnoteReference"/>
              </w:rPr>
              <w:footnoteReference w:id="26"/>
            </w:r>
            <w:r>
              <w:t xml:space="preserve"> </w:t>
            </w:r>
          </w:p>
          <w:p w14:paraId="291A4125" w14:textId="77777777" w:rsidR="008B1D6A" w:rsidRDefault="008B1D6A" w:rsidP="00A64ACD">
            <w:pPr>
              <w:pStyle w:val="TableListLevel1"/>
            </w:pPr>
            <w:r>
              <w:t xml:space="preserve">Is the definition of ‘Spouse’ appropriate in the circumstances </w:t>
            </w:r>
          </w:p>
          <w:p w14:paraId="305A1418" w14:textId="5D712219" w:rsidR="008B1D6A" w:rsidRDefault="008B1D6A" w:rsidP="00A64ACD">
            <w:pPr>
              <w:pStyle w:val="TableListLevel1"/>
            </w:pPr>
            <w:r>
              <w:t>If the definition of ‘Trust’ is appropriate</w:t>
            </w:r>
            <w:r>
              <w:rPr>
                <w:rStyle w:val="FootnoteReference"/>
              </w:rPr>
              <w:footnoteReference w:id="27"/>
            </w:r>
          </w:p>
          <w:p w14:paraId="72673923" w14:textId="5835F22C" w:rsidR="008B1D6A" w:rsidRDefault="008B1D6A" w:rsidP="00A64ACD">
            <w:pPr>
              <w:pStyle w:val="TableListLevel1"/>
            </w:pPr>
            <w:r>
              <w:t xml:space="preserve">If the definition of ‘Trustee’: </w:t>
            </w:r>
          </w:p>
          <w:p w14:paraId="598C277C" w14:textId="2B80818A" w:rsidR="008B1D6A" w:rsidRDefault="008B1D6A" w:rsidP="001B6E5E">
            <w:pPr>
              <w:pStyle w:val="TableListLevel2"/>
              <w:numPr>
                <w:ilvl w:val="0"/>
                <w:numId w:val="6"/>
              </w:numPr>
            </w:pPr>
            <w:r>
              <w:t>matches the clients instructions</w:t>
            </w:r>
          </w:p>
          <w:p w14:paraId="6A82833F" w14:textId="77777777" w:rsidR="008B1D6A" w:rsidRDefault="008B1D6A" w:rsidP="001B6E5E">
            <w:pPr>
              <w:pStyle w:val="TableListLevel2"/>
              <w:numPr>
                <w:ilvl w:val="0"/>
                <w:numId w:val="5"/>
              </w:numPr>
            </w:pPr>
            <w:r>
              <w:t>matches the summary at the top of the will</w:t>
            </w:r>
          </w:p>
          <w:p w14:paraId="59AAAD71" w14:textId="77777777" w:rsidR="008B1D6A" w:rsidRDefault="008B1D6A" w:rsidP="001B6E5E">
            <w:pPr>
              <w:pStyle w:val="TableListLevel2"/>
              <w:numPr>
                <w:ilvl w:val="0"/>
                <w:numId w:val="4"/>
              </w:numPr>
            </w:pPr>
            <w:r>
              <w:lastRenderedPageBreak/>
              <w:t>addresses any jurisdiction specific issues</w:t>
            </w:r>
            <w:r>
              <w:rPr>
                <w:rStyle w:val="FootnoteReference"/>
              </w:rPr>
              <w:footnoteReference w:id="28"/>
            </w:r>
          </w:p>
          <w:p w14:paraId="1FF6767E" w14:textId="1172392A" w:rsidR="008B1D6A" w:rsidRDefault="008B1D6A" w:rsidP="001B6E5E">
            <w:pPr>
              <w:pStyle w:val="TableListLevel2"/>
              <w:numPr>
                <w:ilvl w:val="0"/>
                <w:numId w:val="4"/>
              </w:numPr>
            </w:pPr>
            <w:r>
              <w:t>protects the interests of the beneficiaries</w:t>
            </w:r>
          </w:p>
        </w:tc>
        <w:sdt>
          <w:sdtPr>
            <w:id w:val="20313769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4D2C8EAC" w14:textId="77777777" w:rsidR="008B1D6A" w:rsidRDefault="008B1D6A" w:rsidP="00D4088C">
                <w:pPr>
                  <w:jc w:val="center"/>
                </w:pPr>
                <w:r>
                  <w:rPr>
                    <w:rFonts w:ascii="Segoe UI Symbol" w:hAnsi="Segoe UI Symbol" w:cs="Segoe UI Symbol"/>
                  </w:rPr>
                  <w:t>☐</w:t>
                </w:r>
              </w:p>
            </w:tc>
          </w:sdtContent>
        </w:sdt>
      </w:tr>
      <w:tr w:rsidR="008B1D6A" w14:paraId="1E4DC9A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08F1F7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38F2326" w14:textId="28985AB4" w:rsidR="008B1D6A" w:rsidRDefault="008B1D6A" w:rsidP="00D4088C">
            <w:r>
              <w:t xml:space="preserve">Are the Nominated, Primary and Secondary Beneficiary definitions appropriate? Consider: </w:t>
            </w:r>
          </w:p>
          <w:p w14:paraId="243CAE1C" w14:textId="79275AD4" w:rsidR="008B1D6A" w:rsidRDefault="008B1D6A" w:rsidP="001B6E5E">
            <w:pPr>
              <w:pStyle w:val="TableListLevel1"/>
              <w:numPr>
                <w:ilvl w:val="0"/>
                <w:numId w:val="16"/>
              </w:numPr>
            </w:pPr>
            <w:r>
              <w:t xml:space="preserve">Does it reflect the client’s objectives and instructions e.g. particularly in a </w:t>
            </w:r>
            <w:proofErr w:type="spellStart"/>
            <w:r>
              <w:t>blended</w:t>
            </w:r>
            <w:proofErr w:type="spellEnd"/>
            <w:r>
              <w:t xml:space="preserve"> or non-traditional family context </w:t>
            </w:r>
          </w:p>
          <w:p w14:paraId="059126A1" w14:textId="416CAA8F" w:rsidR="008B1D6A" w:rsidRDefault="008B1D6A" w:rsidP="00FA4003">
            <w:pPr>
              <w:pStyle w:val="TableListLevel1"/>
            </w:pPr>
            <w:r>
              <w:t>Does the definition of Nominated Beneficiary match the summary at the top of the document</w:t>
            </w:r>
          </w:p>
          <w:p w14:paraId="46F02610" w14:textId="77DC6143" w:rsidR="008B1D6A" w:rsidRDefault="008B1D6A" w:rsidP="00FA4003">
            <w:pPr>
              <w:pStyle w:val="TableListLevel1"/>
            </w:pPr>
            <w:r>
              <w:t>Is the appropriate Nominated Beneficiary named and does this match the TT Summary section (consider this in the context of the point below about Primary Beneficiaries and rights like the main residence exemption/SDT provisions built into the TT deed)</w:t>
            </w:r>
          </w:p>
          <w:p w14:paraId="7BAB7D9E" w14:textId="737264E7" w:rsidR="008B1D6A" w:rsidRDefault="008B1D6A" w:rsidP="005B4A84">
            <w:pPr>
              <w:pStyle w:val="TableListLevel1"/>
            </w:pPr>
            <w:r>
              <w:t>Do the specific references to the Nominated Beneficiary and the corresponding Primary Beneficiaries match what you believe are the clients objectives. Search both terms to look at any specific references</w:t>
            </w:r>
          </w:p>
          <w:p w14:paraId="5CB4EB83" w14:textId="45ABE307" w:rsidR="008B1D6A" w:rsidRDefault="00552764" w:rsidP="005B4A84">
            <w:pPr>
              <w:pStyle w:val="TableListLevel1"/>
            </w:pPr>
            <w:r w:rsidRPr="00805002">
              <w:rPr>
                <w:rFonts w:cs="Calibri"/>
                <w:highlight w:val="cyan"/>
              </w:rPr>
              <w:t>[#if couple]</w:t>
            </w:r>
            <w:r>
              <w:rPr>
                <w:rFonts w:cs="Calibri"/>
              </w:rPr>
              <w:t xml:space="preserve"> </w:t>
            </w:r>
            <w:r w:rsidR="008B1D6A">
              <w:t>Where preparing documents for a couple and the wills aren’t identical, consider whether amendment to the definitions of Nominated Beneficiary and Primary Beneficiaries will make the Existing Testamentary Trust clauses effective (as required)</w:t>
            </w:r>
          </w:p>
          <w:p w14:paraId="05F10F01" w14:textId="22B5D793" w:rsidR="008B1D6A" w:rsidRDefault="008B1D6A" w:rsidP="005B4A84">
            <w:pPr>
              <w:pStyle w:val="TableListLevel1"/>
            </w:pPr>
            <w:r>
              <w:t>Have the correct parties been included in the definition of Primary Beneficiary (e.g. should the descendants be those of the testator or those of the Nominated Beneficiary and consider that these are the default beneficiaries for income and capital)</w:t>
            </w:r>
          </w:p>
          <w:p w14:paraId="0BD94F04" w14:textId="4F45A310" w:rsidR="008B1D6A" w:rsidRDefault="008B1D6A" w:rsidP="005B4A84">
            <w:pPr>
              <w:pStyle w:val="TableListLevel1"/>
            </w:pPr>
            <w:r>
              <w:t>Should Spouses be included as Secondary Beneficiaries (generally this is no, but some circumstances it is appropriate where testators wish children-in-law to be able to benefit)</w:t>
            </w:r>
            <w:r>
              <w:rPr>
                <w:rStyle w:val="FootnoteReference"/>
              </w:rPr>
              <w:footnoteReference w:id="29"/>
            </w:r>
          </w:p>
          <w:p w14:paraId="2AB90207" w14:textId="13528688" w:rsidR="008B1D6A" w:rsidRDefault="008B1D6A" w:rsidP="005B4A84">
            <w:pPr>
              <w:pStyle w:val="TableListLevel1"/>
            </w:pPr>
            <w:r>
              <w:t>Should the trustee have the right to add beneficiaries based on the clients objectives</w:t>
            </w:r>
            <w:r>
              <w:rPr>
                <w:rStyle w:val="FootnoteReference"/>
              </w:rPr>
              <w:footnoteReference w:id="30"/>
            </w:r>
            <w:r>
              <w:t xml:space="preserve"> </w:t>
            </w:r>
          </w:p>
        </w:tc>
        <w:sdt>
          <w:sdtPr>
            <w:id w:val="-58121415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168F9B84" w14:textId="6F0C2FC2" w:rsidR="008B1D6A" w:rsidRDefault="008B1D6A" w:rsidP="00D4088C">
                <w:pPr>
                  <w:jc w:val="center"/>
                </w:pPr>
                <w:r>
                  <w:rPr>
                    <w:rFonts w:ascii="Segoe UI Symbol" w:hAnsi="Segoe UI Symbol" w:cs="Segoe UI Symbol"/>
                  </w:rPr>
                  <w:t>☐</w:t>
                </w:r>
              </w:p>
            </w:tc>
          </w:sdtContent>
        </w:sdt>
      </w:tr>
      <w:tr w:rsidR="008B1D6A" w14:paraId="1E371BA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C85BC9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21E65BB" w14:textId="5DB67A7C" w:rsidR="008B1D6A" w:rsidRDefault="008B1D6A" w:rsidP="00D4088C">
            <w:r>
              <w:t xml:space="preserve">Review the variation power and consider: </w:t>
            </w:r>
          </w:p>
          <w:p w14:paraId="3F777B2E" w14:textId="77777777" w:rsidR="008B1D6A" w:rsidRDefault="008B1D6A" w:rsidP="001B6E5E">
            <w:pPr>
              <w:pStyle w:val="TableListLevel1"/>
              <w:numPr>
                <w:ilvl w:val="0"/>
                <w:numId w:val="17"/>
              </w:numPr>
            </w:pPr>
            <w:r>
              <w:t>Should variation need the consent of any party (e.g. appointor)</w:t>
            </w:r>
          </w:p>
          <w:p w14:paraId="229168D1" w14:textId="5C8C382E" w:rsidR="008B1D6A" w:rsidRDefault="008B1D6A" w:rsidP="005B4A84">
            <w:pPr>
              <w:pStyle w:val="TableListLevel1"/>
            </w:pPr>
            <w:r>
              <w:t>Should the variation power be limited so it cannot be exercised to re-include foreign persons</w:t>
            </w:r>
            <w:r>
              <w:rPr>
                <w:rStyle w:val="FootnoteReference"/>
              </w:rPr>
              <w:footnoteReference w:id="31"/>
            </w:r>
            <w:r>
              <w:t xml:space="preserve"> </w:t>
            </w:r>
          </w:p>
        </w:tc>
        <w:sdt>
          <w:sdtPr>
            <w:id w:val="51411992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3F6EF198" w14:textId="1B3E7B45" w:rsidR="008B1D6A" w:rsidRDefault="008B1D6A" w:rsidP="00D4088C">
                <w:pPr>
                  <w:jc w:val="center"/>
                </w:pPr>
                <w:r>
                  <w:rPr>
                    <w:rFonts w:ascii="Segoe UI Symbol" w:hAnsi="Segoe UI Symbol" w:cs="Segoe UI Symbol"/>
                  </w:rPr>
                  <w:t>☐</w:t>
                </w:r>
              </w:p>
            </w:tc>
          </w:sdtContent>
        </w:sdt>
      </w:tr>
      <w:tr w:rsidR="000F5DA0" w14:paraId="6EAD9055" w14:textId="77777777" w:rsidTr="007C0B4D">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93EF0EE" w14:textId="71A1BD81" w:rsidR="000F5DA0" w:rsidRPr="009A0DAD" w:rsidRDefault="000F5DA0" w:rsidP="00D4088C">
            <w:pPr>
              <w:rPr>
                <w:rFonts w:asciiTheme="minorHAnsi" w:hAnsiTheme="minorHAnsi" w:cstheme="minorHAnsi"/>
                <w:b/>
                <w:bCs/>
                <w:i/>
                <w:iCs/>
                <w:sz w:val="24"/>
                <w:szCs w:val="20"/>
              </w:rPr>
            </w:pPr>
            <w:r w:rsidRPr="009A0DAD">
              <w:rPr>
                <w:b/>
                <w:bCs/>
              </w:rPr>
              <w:lastRenderedPageBreak/>
              <w:t>Drafting Issues – Legal – Letter of Wishes (LOW)</w:t>
            </w:r>
          </w:p>
        </w:tc>
      </w:tr>
      <w:tr w:rsidR="008B1D6A" w14:paraId="3CD4478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63228F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386FDB9" w14:textId="073F7BAE" w:rsidR="008B1D6A" w:rsidRDefault="00390BC0" w:rsidP="00D4088C">
            <w:r w:rsidRPr="00805002">
              <w:rPr>
                <w:rFonts w:cs="Calibri"/>
                <w:highlight w:val="cyan"/>
              </w:rPr>
              <w:t>[#if couple]</w:t>
            </w:r>
            <w:r>
              <w:rPr>
                <w:rFonts w:cs="Calibri"/>
              </w:rPr>
              <w:t xml:space="preserve"> </w:t>
            </w:r>
            <w:r w:rsidR="008B1D6A">
              <w:t>Consider if a separate LOW for each client (where a couple) would be more appropriate in the circumstances</w:t>
            </w:r>
          </w:p>
        </w:tc>
        <w:sdt>
          <w:sdtPr>
            <w:id w:val="68170978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3CC06AF7" w14:textId="77777777" w:rsidR="008B1D6A" w:rsidRDefault="008B1D6A" w:rsidP="00D4088C">
                <w:pPr>
                  <w:jc w:val="center"/>
                </w:pPr>
                <w:r>
                  <w:rPr>
                    <w:rFonts w:ascii="Segoe UI Symbol" w:hAnsi="Segoe UI Symbol" w:cs="Segoe UI Symbol"/>
                  </w:rPr>
                  <w:t>☐</w:t>
                </w:r>
              </w:p>
            </w:tc>
          </w:sdtContent>
        </w:sdt>
      </w:tr>
      <w:tr w:rsidR="008B1D6A" w14:paraId="6BA2985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3EB859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36C87F3A" w14:textId="3D5B557E" w:rsidR="008B1D6A" w:rsidRDefault="008B1D6A" w:rsidP="00D4088C">
            <w:r>
              <w:t>Consider if ‘handing of control to minors’ provision should be included</w:t>
            </w:r>
            <w:r>
              <w:rPr>
                <w:rStyle w:val="FootnoteReference"/>
              </w:rPr>
              <w:footnoteReference w:id="32"/>
            </w:r>
          </w:p>
        </w:tc>
        <w:sdt>
          <w:sdtPr>
            <w:id w:val="-68158667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44C5999B" w14:textId="77777777" w:rsidR="008B1D6A" w:rsidRDefault="008B1D6A" w:rsidP="00D4088C">
                <w:pPr>
                  <w:jc w:val="center"/>
                </w:pPr>
                <w:r>
                  <w:rPr>
                    <w:rFonts w:ascii="Segoe UI Symbol" w:hAnsi="Segoe UI Symbol" w:cs="Segoe UI Symbol"/>
                  </w:rPr>
                  <w:t>☐</w:t>
                </w:r>
              </w:p>
            </w:tc>
          </w:sdtContent>
        </w:sdt>
      </w:tr>
      <w:tr w:rsidR="008B1D6A" w14:paraId="5411CBA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82470C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7BC0572" w14:textId="2D718C69" w:rsidR="008B1D6A" w:rsidRDefault="008B1D6A" w:rsidP="00D4088C">
            <w:r>
              <w:t>Consider if there are additional instructions provided by clients with regards to contents that should be included</w:t>
            </w:r>
            <w:r>
              <w:rPr>
                <w:rStyle w:val="FootnoteReference"/>
              </w:rPr>
              <w:footnoteReference w:id="33"/>
            </w:r>
            <w:r>
              <w:t xml:space="preserve"> </w:t>
            </w:r>
          </w:p>
        </w:tc>
        <w:sdt>
          <w:sdtPr>
            <w:id w:val="48998847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329C259" w14:textId="77777777" w:rsidR="008B1D6A" w:rsidRDefault="008B1D6A" w:rsidP="00D4088C">
                <w:pPr>
                  <w:jc w:val="center"/>
                </w:pPr>
                <w:r>
                  <w:rPr>
                    <w:rFonts w:ascii="Segoe UI Symbol" w:hAnsi="Segoe UI Symbol" w:cs="Segoe UI Symbol"/>
                  </w:rPr>
                  <w:t>☐</w:t>
                </w:r>
              </w:p>
            </w:tc>
          </w:sdtContent>
        </w:sdt>
      </w:tr>
      <w:tr w:rsidR="008B1D6A" w14:paraId="491FEA0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53679A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90EF865" w14:textId="2907A44A" w:rsidR="008B1D6A" w:rsidRDefault="008B1D6A" w:rsidP="00D4088C">
            <w:r>
              <w:t>Consider if a more detailed letter of wishes template should be used</w:t>
            </w:r>
            <w:r>
              <w:rPr>
                <w:rStyle w:val="FootnoteReference"/>
              </w:rPr>
              <w:footnoteReference w:id="34"/>
            </w:r>
            <w:r>
              <w:t xml:space="preserve"> </w:t>
            </w:r>
          </w:p>
        </w:tc>
        <w:sdt>
          <w:sdtPr>
            <w:id w:val="113614534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1E5BF703" w14:textId="343C0CA9" w:rsidR="008B1D6A" w:rsidRDefault="008B1D6A" w:rsidP="00D4088C">
                <w:pPr>
                  <w:jc w:val="center"/>
                </w:pPr>
                <w:r>
                  <w:rPr>
                    <w:rFonts w:ascii="Segoe UI Symbol" w:hAnsi="Segoe UI Symbol" w:cs="Segoe UI Symbol"/>
                  </w:rPr>
                  <w:t>☐</w:t>
                </w:r>
              </w:p>
            </w:tc>
          </w:sdtContent>
        </w:sdt>
      </w:tr>
      <w:tr w:rsidR="008B1D6A" w14:paraId="6AADEEBE"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FF11F50"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4E63470" w14:textId="35E51205" w:rsidR="008B1D6A" w:rsidRDefault="008B1D6A" w:rsidP="00D4088C">
            <w:r>
              <w:t>Consider if jurisdictional issues mean that cremation/burial instructions should be in the will or in the letter of wishes</w:t>
            </w:r>
            <w:r>
              <w:rPr>
                <w:rStyle w:val="FootnoteReference"/>
              </w:rPr>
              <w:footnoteReference w:id="35"/>
            </w:r>
          </w:p>
        </w:tc>
        <w:sdt>
          <w:sdtPr>
            <w:id w:val="164985368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3E76B296" w14:textId="1A6409F3" w:rsidR="008B1D6A" w:rsidRDefault="008B1D6A" w:rsidP="00D4088C">
                <w:pPr>
                  <w:jc w:val="center"/>
                </w:pPr>
                <w:r>
                  <w:rPr>
                    <w:rFonts w:ascii="Segoe UI Symbol" w:hAnsi="Segoe UI Symbol" w:cs="Segoe UI Symbol"/>
                  </w:rPr>
                  <w:t>☐</w:t>
                </w:r>
              </w:p>
            </w:tc>
          </w:sdtContent>
        </w:sdt>
      </w:tr>
      <w:tr w:rsidR="000F5DA0" w14:paraId="421C8A8C" w14:textId="77777777" w:rsidTr="00544712">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9BF11D9" w14:textId="504AFD34" w:rsidR="000F5DA0" w:rsidRPr="009A0DAD" w:rsidRDefault="000F5DA0" w:rsidP="00D4088C">
            <w:pPr>
              <w:rPr>
                <w:b/>
                <w:bCs/>
              </w:rPr>
            </w:pPr>
            <w:r w:rsidRPr="009A0DAD">
              <w:rPr>
                <w:b/>
                <w:bCs/>
              </w:rPr>
              <w:t>Drafting issues – Legal – Powers of Attorney (POA)</w:t>
            </w:r>
          </w:p>
        </w:tc>
      </w:tr>
      <w:tr w:rsidR="008B1D6A" w14:paraId="6B25A2E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21A377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BFBF918" w14:textId="2DEC021F" w:rsidR="008B1D6A" w:rsidRDefault="008B1D6A" w:rsidP="00D4088C">
            <w:r>
              <w:t xml:space="preserve">Confirm that the document prepared is an </w:t>
            </w:r>
            <w:r w:rsidRPr="00925F68">
              <w:rPr>
                <w:u w:val="single"/>
              </w:rPr>
              <w:t>ENDURING</w:t>
            </w:r>
            <w:r>
              <w:t xml:space="preserve"> Power of Attorney (EPA)</w:t>
            </w:r>
            <w:r>
              <w:rPr>
                <w:rStyle w:val="FootnoteReference"/>
              </w:rPr>
              <w:footnoteReference w:id="36"/>
            </w:r>
          </w:p>
        </w:tc>
        <w:sdt>
          <w:sdtPr>
            <w:id w:val="-16323847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C8FFE8F" w14:textId="77777777" w:rsidR="008B1D6A" w:rsidRDefault="008B1D6A" w:rsidP="00D4088C">
                <w:pPr>
                  <w:jc w:val="center"/>
                </w:pPr>
                <w:r>
                  <w:rPr>
                    <w:rFonts w:ascii="Segoe UI Symbol" w:hAnsi="Segoe UI Symbol" w:cs="Segoe UI Symbol"/>
                  </w:rPr>
                  <w:t>☐</w:t>
                </w:r>
              </w:p>
            </w:tc>
          </w:sdtContent>
        </w:sdt>
      </w:tr>
      <w:tr w:rsidR="008B1D6A" w14:paraId="2A86737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AEC7AB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DE7EBA9" w14:textId="52CE2EF6" w:rsidR="008B1D6A" w:rsidRDefault="008B1D6A" w:rsidP="00D4088C">
            <w:r>
              <w:t>Confirm each relevant document is prepared (noting that some states require more than one document to cover both financial and medical/personal appointments and instructions)</w:t>
            </w:r>
          </w:p>
        </w:tc>
        <w:sdt>
          <w:sdtPr>
            <w:id w:val="-151838375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5488796" w14:textId="77777777" w:rsidR="008B1D6A" w:rsidRDefault="008B1D6A" w:rsidP="00D4088C">
                <w:pPr>
                  <w:jc w:val="center"/>
                </w:pPr>
                <w:r>
                  <w:rPr>
                    <w:rFonts w:ascii="Segoe UI Symbol" w:hAnsi="Segoe UI Symbol" w:cs="Segoe UI Symbol"/>
                  </w:rPr>
                  <w:t>☐</w:t>
                </w:r>
              </w:p>
            </w:tc>
          </w:sdtContent>
        </w:sdt>
      </w:tr>
      <w:tr w:rsidR="008B1D6A" w14:paraId="2B86C6C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323E0C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03094EC4" w14:textId="6D2BC4A5" w:rsidR="008B1D6A" w:rsidRDefault="008B1D6A" w:rsidP="00D4088C">
            <w:r>
              <w:t>Confirm that the form looks like the most recent form that can be downloaded from the relevant Government website (noting that each State is different)</w:t>
            </w:r>
            <w:r>
              <w:rPr>
                <w:rStyle w:val="FootnoteReference"/>
              </w:rPr>
              <w:footnoteReference w:id="37"/>
            </w:r>
          </w:p>
        </w:tc>
        <w:sdt>
          <w:sdtPr>
            <w:id w:val="211246822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71F6C34" w14:textId="77777777" w:rsidR="008B1D6A" w:rsidRDefault="008B1D6A" w:rsidP="00D4088C">
                <w:pPr>
                  <w:jc w:val="center"/>
                </w:pPr>
                <w:r>
                  <w:rPr>
                    <w:rFonts w:ascii="Segoe UI Symbol" w:hAnsi="Segoe UI Symbol" w:cs="Segoe UI Symbol"/>
                  </w:rPr>
                  <w:t>☐</w:t>
                </w:r>
              </w:p>
            </w:tc>
          </w:sdtContent>
        </w:sdt>
      </w:tr>
      <w:tr w:rsidR="008B1D6A" w14:paraId="56CF4DA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D84184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C85BB5A" w14:textId="52742A35" w:rsidR="008B1D6A" w:rsidRDefault="008B1D6A" w:rsidP="00D4088C">
            <w:r>
              <w:t>Confirm that the form is the long or short form, in accordance with the client’s instructions and objectives</w:t>
            </w:r>
            <w:r>
              <w:rPr>
                <w:rStyle w:val="FootnoteReference"/>
              </w:rPr>
              <w:footnoteReference w:id="38"/>
            </w:r>
          </w:p>
        </w:tc>
        <w:sdt>
          <w:sdtPr>
            <w:id w:val="-26824219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17168D3" w14:textId="77777777" w:rsidR="008B1D6A" w:rsidRDefault="008B1D6A" w:rsidP="00D4088C">
                <w:pPr>
                  <w:jc w:val="center"/>
                </w:pPr>
                <w:r>
                  <w:rPr>
                    <w:rFonts w:ascii="Segoe UI Symbol" w:hAnsi="Segoe UI Symbol" w:cs="Segoe UI Symbol"/>
                  </w:rPr>
                  <w:t>☐</w:t>
                </w:r>
              </w:p>
            </w:tc>
          </w:sdtContent>
        </w:sdt>
      </w:tr>
      <w:tr w:rsidR="008B1D6A" w14:paraId="0889313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C112E6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9E3DCAF" w14:textId="5FA3701F" w:rsidR="008B1D6A" w:rsidRDefault="008B1D6A" w:rsidP="00D4088C">
            <w:r>
              <w:t xml:space="preserve">Confirm that appointments:  </w:t>
            </w:r>
          </w:p>
          <w:p w14:paraId="6596028F" w14:textId="77777777" w:rsidR="008B1D6A" w:rsidRDefault="008B1D6A" w:rsidP="001B6E5E">
            <w:pPr>
              <w:pStyle w:val="TableListLevel1"/>
              <w:numPr>
                <w:ilvl w:val="0"/>
                <w:numId w:val="18"/>
              </w:numPr>
            </w:pPr>
            <w:r>
              <w:t>Are in accordance with the client’s instructions</w:t>
            </w:r>
          </w:p>
          <w:p w14:paraId="46ED11BF" w14:textId="693C8EFC" w:rsidR="008B1D6A" w:rsidRDefault="008B1D6A" w:rsidP="005B4A84">
            <w:pPr>
              <w:pStyle w:val="TableListLevel1"/>
            </w:pPr>
            <w:r>
              <w:t>Reflect the relevant law in that State (noting different States have different provisions about numbers of attorneys and manner of acting)</w:t>
            </w:r>
            <w:r>
              <w:rPr>
                <w:rStyle w:val="FootnoteReference"/>
              </w:rPr>
              <w:footnoteReference w:id="39"/>
            </w:r>
          </w:p>
        </w:tc>
        <w:sdt>
          <w:sdtPr>
            <w:id w:val="10809088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FCEB883" w14:textId="77777777" w:rsidR="008B1D6A" w:rsidRDefault="008B1D6A" w:rsidP="00D4088C">
                <w:pPr>
                  <w:jc w:val="center"/>
                </w:pPr>
                <w:r>
                  <w:rPr>
                    <w:rFonts w:ascii="Segoe UI Symbol" w:hAnsi="Segoe UI Symbol" w:cs="Segoe UI Symbol"/>
                  </w:rPr>
                  <w:t>☐</w:t>
                </w:r>
              </w:p>
            </w:tc>
          </w:sdtContent>
        </w:sdt>
      </w:tr>
      <w:tr w:rsidR="008B1D6A" w14:paraId="5278A01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505014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230CFBD" w14:textId="5A2EEB48" w:rsidR="008B1D6A" w:rsidRDefault="008B1D6A" w:rsidP="00D4088C">
            <w:r>
              <w:t>Confirm that the additional powers are appropriate in the client’s circumstances</w:t>
            </w:r>
            <w:r>
              <w:rPr>
                <w:rStyle w:val="FootnoteReference"/>
              </w:rPr>
              <w:footnoteReference w:id="40"/>
            </w:r>
            <w:r>
              <w:t xml:space="preserve"> </w:t>
            </w:r>
          </w:p>
        </w:tc>
        <w:sdt>
          <w:sdtPr>
            <w:id w:val="-17042077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59E3C34" w14:textId="77777777" w:rsidR="008B1D6A" w:rsidRDefault="008B1D6A" w:rsidP="00D4088C">
                <w:pPr>
                  <w:jc w:val="center"/>
                </w:pPr>
                <w:r>
                  <w:rPr>
                    <w:rFonts w:ascii="Segoe UI Symbol" w:hAnsi="Segoe UI Symbol" w:cs="Segoe UI Symbol"/>
                  </w:rPr>
                  <w:t>☐</w:t>
                </w:r>
              </w:p>
            </w:tc>
          </w:sdtContent>
        </w:sdt>
      </w:tr>
      <w:tr w:rsidR="008B1D6A" w14:paraId="4B66F17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8E7A69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8A235F1" w14:textId="3C0EA549" w:rsidR="008B1D6A" w:rsidRDefault="008B1D6A" w:rsidP="00D4088C">
            <w:r>
              <w:t>Confirm that the timing of the financial powers coming into effect (i.e. immediately or upon loss of capacity) reflects the instructions obtained from the donor</w:t>
            </w:r>
            <w:r>
              <w:rPr>
                <w:rStyle w:val="FootnoteReference"/>
              </w:rPr>
              <w:footnoteReference w:id="41"/>
            </w:r>
          </w:p>
        </w:tc>
        <w:sdt>
          <w:sdtPr>
            <w:id w:val="208463155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1FC6979" w14:textId="77777777" w:rsidR="008B1D6A" w:rsidRDefault="008B1D6A" w:rsidP="00D4088C">
                <w:pPr>
                  <w:jc w:val="center"/>
                </w:pPr>
                <w:r>
                  <w:rPr>
                    <w:rFonts w:ascii="Segoe UI Symbol" w:hAnsi="Segoe UI Symbol" w:cs="Segoe UI Symbol"/>
                  </w:rPr>
                  <w:t>☐</w:t>
                </w:r>
              </w:p>
            </w:tc>
          </w:sdtContent>
        </w:sdt>
      </w:tr>
      <w:tr w:rsidR="008B1D6A" w14:paraId="5800B7BB"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C8D006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7495584" w14:textId="09EF4DEC" w:rsidR="008B1D6A" w:rsidRDefault="008B1D6A" w:rsidP="00D4088C">
            <w:r>
              <w:t>Confirm that the names of the attorneys are in the correct order both in the list at the start of each form and the signing panels (i.e. the first appointed attorney should be the first person mentioned in the form and be the first signature panel at the back of the document)</w:t>
            </w:r>
          </w:p>
        </w:tc>
        <w:sdt>
          <w:sdtPr>
            <w:id w:val="-67418788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3629526" w14:textId="77777777" w:rsidR="008B1D6A" w:rsidRDefault="008B1D6A" w:rsidP="00D4088C">
                <w:pPr>
                  <w:jc w:val="center"/>
                </w:pPr>
                <w:r>
                  <w:rPr>
                    <w:rFonts w:ascii="Segoe UI Symbol" w:hAnsi="Segoe UI Symbol" w:cs="Segoe UI Symbol"/>
                  </w:rPr>
                  <w:t>☐</w:t>
                </w:r>
              </w:p>
            </w:tc>
          </w:sdtContent>
        </w:sdt>
      </w:tr>
      <w:tr w:rsidR="000F5DA0" w14:paraId="6D09A3E9" w14:textId="77777777" w:rsidTr="00824F3B">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2742703" w14:textId="0854FC3C" w:rsidR="000F5DA0" w:rsidRDefault="000F5DA0" w:rsidP="00D4088C">
            <w:r w:rsidRPr="009A0DAD">
              <w:rPr>
                <w:b/>
                <w:bCs/>
              </w:rPr>
              <w:t>Drafting Issues – Legal – Letter to client</w:t>
            </w:r>
          </w:p>
        </w:tc>
      </w:tr>
      <w:tr w:rsidR="008B1D6A" w14:paraId="4AC41DE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C07297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5E20B5F" w14:textId="775D9417" w:rsidR="008B1D6A" w:rsidRDefault="008B1D6A" w:rsidP="00D4088C">
            <w:r>
              <w:t>Have each of the options been validly included/removed based on the circumstances</w:t>
            </w:r>
          </w:p>
        </w:tc>
        <w:sdt>
          <w:sdtPr>
            <w:id w:val="28131590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BDAFA60" w14:textId="77777777" w:rsidR="008B1D6A" w:rsidRDefault="008B1D6A" w:rsidP="00D4088C">
                <w:pPr>
                  <w:jc w:val="center"/>
                </w:pPr>
                <w:r>
                  <w:rPr>
                    <w:rFonts w:ascii="Segoe UI Symbol" w:hAnsi="Segoe UI Symbol" w:cs="Segoe UI Symbol"/>
                  </w:rPr>
                  <w:t>☐</w:t>
                </w:r>
              </w:p>
            </w:tc>
          </w:sdtContent>
        </w:sdt>
      </w:tr>
      <w:tr w:rsidR="008B1D6A" w14:paraId="2665EA1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854934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0BCDA0C" w14:textId="19CDD441" w:rsidR="008B1D6A" w:rsidRDefault="008B1D6A" w:rsidP="00D4088C">
            <w:r>
              <w:t>Have you considered whether there are any other specific risk issues not covered in writing that should be in the letter</w:t>
            </w:r>
          </w:p>
        </w:tc>
        <w:sdt>
          <w:sdtPr>
            <w:id w:val="-6620125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4805ED1A" w14:textId="77777777" w:rsidR="008B1D6A" w:rsidRDefault="008B1D6A" w:rsidP="00D4088C">
                <w:pPr>
                  <w:jc w:val="center"/>
                </w:pPr>
                <w:r>
                  <w:rPr>
                    <w:rFonts w:ascii="Segoe UI Symbol" w:hAnsi="Segoe UI Symbol" w:cs="Segoe UI Symbol"/>
                  </w:rPr>
                  <w:t>☐</w:t>
                </w:r>
              </w:p>
            </w:tc>
          </w:sdtContent>
        </w:sdt>
      </w:tr>
      <w:tr w:rsidR="000F5DA0" w14:paraId="0A19B627" w14:textId="77777777" w:rsidTr="00FB70F4">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D90820" w14:textId="2FA330E9" w:rsidR="000F5DA0" w:rsidRDefault="000F5DA0" w:rsidP="00D4088C">
            <w:r w:rsidRPr="009A0DAD">
              <w:rPr>
                <w:b/>
                <w:bCs/>
              </w:rPr>
              <w:t>Drafting issues – Legal – Additional</w:t>
            </w:r>
            <w:r w:rsidRPr="009A0DAD">
              <w:rPr>
                <w:rFonts w:asciiTheme="minorHAnsi" w:hAnsiTheme="minorHAnsi" w:cstheme="minorHAnsi"/>
                <w:b/>
                <w:bCs/>
                <w:i/>
                <w:iCs/>
                <w:sz w:val="24"/>
                <w:szCs w:val="20"/>
              </w:rPr>
              <w:t xml:space="preserve"> </w:t>
            </w:r>
            <w:r w:rsidRPr="009A0DAD">
              <w:rPr>
                <w:b/>
                <w:bCs/>
              </w:rPr>
              <w:t>documents</w:t>
            </w:r>
          </w:p>
        </w:tc>
      </w:tr>
      <w:tr w:rsidR="008B1D6A" w14:paraId="76F2E91B"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DF7312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87DAE96" w14:textId="4264BEC4" w:rsidR="008B1D6A" w:rsidRDefault="008B1D6A" w:rsidP="00D4088C">
            <w:r>
              <w:t>Are any additional documents required:</w:t>
            </w:r>
          </w:p>
          <w:p w14:paraId="45371B46" w14:textId="2C8A3A92" w:rsidR="008B1D6A" w:rsidRDefault="008B1D6A" w:rsidP="001B6E5E">
            <w:pPr>
              <w:pStyle w:val="TableListLevel1"/>
              <w:numPr>
                <w:ilvl w:val="0"/>
                <w:numId w:val="19"/>
              </w:numPr>
            </w:pPr>
            <w:r>
              <w:t>Additional financial powers of attorney</w:t>
            </w:r>
            <w:r>
              <w:rPr>
                <w:rStyle w:val="FootnoteReference"/>
              </w:rPr>
              <w:footnoteReference w:id="42"/>
            </w:r>
          </w:p>
          <w:p w14:paraId="7E900929" w14:textId="63F10E7B" w:rsidR="008B1D6A" w:rsidRDefault="008B1D6A" w:rsidP="005B4A84">
            <w:pPr>
              <w:pStyle w:val="TableListLevel1"/>
            </w:pPr>
            <w:r>
              <w:t xml:space="preserve">Revocation of existing EPAs (and notice to existing attorneys, as required by relevant </w:t>
            </w:r>
            <w:r w:rsidRPr="00F33D1C">
              <w:t>State laws)</w:t>
            </w:r>
            <w:r>
              <w:rPr>
                <w:rStyle w:val="FootnoteReference"/>
              </w:rPr>
              <w:footnoteReference w:id="43"/>
            </w:r>
          </w:p>
          <w:p w14:paraId="1710D1C4" w14:textId="56FFE3F7" w:rsidR="008B1D6A" w:rsidRPr="00F33D1C" w:rsidRDefault="008B1D6A" w:rsidP="005B4A84">
            <w:pPr>
              <w:pStyle w:val="TableListLevel1"/>
            </w:pPr>
            <w:r>
              <w:t>Statutory declaration or other documents when excluding a person from estate</w:t>
            </w:r>
            <w:r>
              <w:rPr>
                <w:rStyle w:val="FootnoteReference"/>
              </w:rPr>
              <w:footnoteReference w:id="44"/>
            </w:r>
            <w:r>
              <w:t xml:space="preserve"> </w:t>
            </w:r>
          </w:p>
          <w:p w14:paraId="0F9101E7" w14:textId="77777777" w:rsidR="008B1D6A" w:rsidRPr="00F33D1C" w:rsidRDefault="008B1D6A" w:rsidP="005B4A84">
            <w:pPr>
              <w:pStyle w:val="TableListLevel1"/>
            </w:pPr>
            <w:r w:rsidRPr="00F33D1C">
              <w:t>Superannuation nominations</w:t>
            </w:r>
          </w:p>
          <w:p w14:paraId="5604C602" w14:textId="01032B36" w:rsidR="008B1D6A" w:rsidRDefault="008B1D6A" w:rsidP="005B4A84">
            <w:pPr>
              <w:pStyle w:val="TableListLevel1"/>
            </w:pPr>
            <w:r>
              <w:t>Trust succession documents (deed of variation, deed of successor etc)</w:t>
            </w:r>
          </w:p>
          <w:p w14:paraId="2970941B" w14:textId="6DAEF242" w:rsidR="008B1D6A" w:rsidRDefault="008B1D6A" w:rsidP="005B4A84">
            <w:pPr>
              <w:pStyle w:val="TableListLevel1"/>
            </w:pPr>
            <w:r>
              <w:t>Changes to companies (change of shareholders or directors, updated constitution etc)</w:t>
            </w:r>
          </w:p>
          <w:p w14:paraId="1A29BC92" w14:textId="1AE51EF4" w:rsidR="008B1D6A" w:rsidRDefault="008B1D6A" w:rsidP="005B4A84">
            <w:pPr>
              <w:pStyle w:val="TableListLevel1"/>
            </w:pPr>
            <w:r>
              <w:t xml:space="preserve">Power of attorney for any trading entities </w:t>
            </w:r>
          </w:p>
          <w:p w14:paraId="7A3CEA49" w14:textId="4164E07C" w:rsidR="008B1D6A" w:rsidRPr="00F33D1C" w:rsidRDefault="008B1D6A" w:rsidP="005B4A84">
            <w:pPr>
              <w:pStyle w:val="TableListLevel1"/>
            </w:pPr>
            <w:r w:rsidRPr="00F33D1C">
              <w:lastRenderedPageBreak/>
              <w:t>Revocation of any mutual wills</w:t>
            </w:r>
          </w:p>
          <w:p w14:paraId="6F0DE3E0" w14:textId="77777777" w:rsidR="008B1D6A" w:rsidRDefault="008B1D6A" w:rsidP="005B4A84">
            <w:pPr>
              <w:pStyle w:val="TableListLevel1"/>
            </w:pPr>
            <w:r>
              <w:t>Change in tenancy documents for real property</w:t>
            </w:r>
          </w:p>
          <w:p w14:paraId="07B1E8D0" w14:textId="16ED5FFC" w:rsidR="008B1D6A" w:rsidRDefault="008B1D6A" w:rsidP="005B4A84">
            <w:pPr>
              <w:pStyle w:val="TableListLevel1"/>
            </w:pPr>
            <w:r w:rsidRPr="00F33D1C">
              <w:t>Business succession agreements e.g. shareholders agreements</w:t>
            </w:r>
          </w:p>
        </w:tc>
        <w:sdt>
          <w:sdtPr>
            <w:id w:val="-54498587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F3D1F9F" w14:textId="48B63D34" w:rsidR="008B1D6A" w:rsidRDefault="008B1D6A" w:rsidP="00D4088C">
                <w:pPr>
                  <w:jc w:val="center"/>
                </w:pPr>
                <w:r>
                  <w:rPr>
                    <w:rFonts w:ascii="Segoe UI Symbol" w:hAnsi="Segoe UI Symbol" w:cs="Segoe UI Symbol"/>
                  </w:rPr>
                  <w:t>☐</w:t>
                </w:r>
              </w:p>
            </w:tc>
          </w:sdtContent>
        </w:sdt>
      </w:tr>
      <w:tr w:rsidR="008B1D6A" w14:paraId="11E394E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5D2A5B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FB8AF86" w14:textId="7F269297" w:rsidR="008B1D6A" w:rsidRDefault="008B1D6A" w:rsidP="00D4088C">
            <w:r>
              <w:t>If the client has assets in Victoria, has the client signed documents confirming they consent to an executor receiving commission</w:t>
            </w:r>
            <w:r>
              <w:rPr>
                <w:rStyle w:val="FootnoteReference"/>
              </w:rPr>
              <w:footnoteReference w:id="45"/>
            </w:r>
            <w:r>
              <w:t xml:space="preserve"> </w:t>
            </w:r>
          </w:p>
        </w:tc>
        <w:sdt>
          <w:sdtPr>
            <w:id w:val="-124000563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6B32AB54" w14:textId="0B022840" w:rsidR="008B1D6A" w:rsidRDefault="008B1D6A" w:rsidP="00D4088C">
                <w:pPr>
                  <w:jc w:val="center"/>
                </w:pPr>
                <w:r>
                  <w:rPr>
                    <w:rFonts w:ascii="Segoe UI Symbol" w:hAnsi="Segoe UI Symbol" w:cs="Segoe UI Symbol"/>
                  </w:rPr>
                  <w:t>☐</w:t>
                </w:r>
              </w:p>
            </w:tc>
          </w:sdtContent>
        </w:sdt>
      </w:tr>
      <w:tr w:rsidR="008B1D6A" w14:paraId="6021400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630906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C7315D6" w14:textId="7D2D194D" w:rsidR="008B1D6A" w:rsidRDefault="008B1D6A" w:rsidP="00D4088C">
            <w:r>
              <w:t xml:space="preserve">If the client has appointed you (solicitor) as an executor or trustee, have you </w:t>
            </w:r>
            <w:r w:rsidRPr="007B2A86">
              <w:t>prepare</w:t>
            </w:r>
            <w:r>
              <w:t>d</w:t>
            </w:r>
            <w:r w:rsidRPr="007B2A86">
              <w:t xml:space="preserve"> a letter complying with obligations under Rules 12.4</w:t>
            </w:r>
            <w:r>
              <w:t>.</w:t>
            </w:r>
            <w:r w:rsidRPr="007B2A86">
              <w:t>1 and 12.4</w:t>
            </w:r>
            <w:r>
              <w:t>.</w:t>
            </w:r>
            <w:r w:rsidRPr="007B2A86">
              <w:t xml:space="preserve">2 of </w:t>
            </w:r>
            <w:r>
              <w:t xml:space="preserve">the Australian </w:t>
            </w:r>
            <w:r w:rsidRPr="007B2A86">
              <w:t>Solicitors Conduct Rules</w:t>
            </w:r>
            <w:r>
              <w:t xml:space="preserve"> (or equivalent)</w:t>
            </w:r>
          </w:p>
        </w:tc>
        <w:sdt>
          <w:sdtPr>
            <w:id w:val="-169367978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619A023" w14:textId="1902ECF4" w:rsidR="008B1D6A" w:rsidRDefault="008B1D6A" w:rsidP="00D4088C">
                <w:pPr>
                  <w:jc w:val="center"/>
                </w:pPr>
                <w:r>
                  <w:rPr>
                    <w:rFonts w:ascii="Segoe UI Symbol" w:hAnsi="Segoe UI Symbol" w:cs="Segoe UI Symbol"/>
                  </w:rPr>
                  <w:t>☐</w:t>
                </w:r>
              </w:p>
            </w:tc>
          </w:sdtContent>
        </w:sdt>
      </w:tr>
      <w:tr w:rsidR="000F5DA0" w14:paraId="7D66B52A" w14:textId="77777777" w:rsidTr="000B392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ED35B6A" w14:textId="50210CA5" w:rsidR="000F5DA0" w:rsidRPr="009A0DAD" w:rsidRDefault="000F5DA0" w:rsidP="00D4088C">
            <w:pPr>
              <w:rPr>
                <w:b/>
                <w:bCs/>
              </w:rPr>
            </w:pPr>
            <w:r w:rsidRPr="009A0DAD">
              <w:rPr>
                <w:b/>
                <w:bCs/>
              </w:rPr>
              <w:t>Drafting Issues – Non-Legal</w:t>
            </w:r>
          </w:p>
        </w:tc>
      </w:tr>
      <w:tr w:rsidR="008B1D6A" w14:paraId="0E30C01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F044227"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8410D48" w14:textId="52659B51" w:rsidR="008B1D6A" w:rsidRDefault="008B1D6A" w:rsidP="00D4088C">
            <w:r>
              <w:rPr>
                <w:rFonts w:cs="Calibri"/>
              </w:rPr>
              <w:t>Select all and update all cross references (e.g. by using the shortcut F9 once you have selected all text)</w:t>
            </w:r>
          </w:p>
        </w:tc>
        <w:sdt>
          <w:sdtPr>
            <w:id w:val="48459604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2A77B45" w14:textId="77777777" w:rsidR="008B1D6A" w:rsidRDefault="008B1D6A" w:rsidP="00D4088C">
                <w:pPr>
                  <w:jc w:val="center"/>
                </w:pPr>
                <w:r>
                  <w:rPr>
                    <w:rFonts w:ascii="Segoe UI Symbol" w:hAnsi="Segoe UI Symbol" w:cs="Segoe UI Symbol"/>
                  </w:rPr>
                  <w:t>☐</w:t>
                </w:r>
              </w:p>
            </w:tc>
          </w:sdtContent>
        </w:sdt>
      </w:tr>
      <w:tr w:rsidR="002A54AD" w14:paraId="6ABCC45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364A854" w14:textId="77777777" w:rsidR="002A54AD" w:rsidRDefault="002A54AD"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79A9C8B" w14:textId="5CFF9988" w:rsidR="002A54AD" w:rsidRPr="00290724" w:rsidRDefault="002A54AD" w:rsidP="00D4088C">
            <w:pPr>
              <w:rPr>
                <w:rFonts w:eastAsia="Times New Roman" w:cs="Calibri"/>
                <w:lang w:val="en-US"/>
              </w:rPr>
            </w:pPr>
            <w:r w:rsidRPr="00EE5B8B">
              <w:rPr>
                <w:rFonts w:eastAsia="Times New Roman" w:cs="Calibri"/>
                <w:lang w:val="en-US"/>
              </w:rPr>
              <w:t>Search ‘preceding clause’ and check that this is contextually correct</w:t>
            </w:r>
            <w:r w:rsidR="000C1E5A">
              <w:rPr>
                <w:rFonts w:eastAsia="Times New Roman" w:cs="Calibri"/>
                <w:lang w:val="en-US"/>
              </w:rPr>
              <w:t>.  Consider inserting a specific cross reference to avoid ambiguity</w:t>
            </w:r>
          </w:p>
        </w:tc>
        <w:sdt>
          <w:sdtPr>
            <w:id w:val="-110680255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01746E6C" w14:textId="1F8E7AFB" w:rsidR="002A54AD" w:rsidRDefault="002A54AD" w:rsidP="00D4088C">
                <w:pPr>
                  <w:jc w:val="center"/>
                </w:pPr>
                <w:r>
                  <w:rPr>
                    <w:rFonts w:ascii="Segoe UI Symbol" w:hAnsi="Segoe UI Symbol" w:cs="Segoe UI Symbol"/>
                  </w:rPr>
                  <w:t>☐</w:t>
                </w:r>
              </w:p>
            </w:tc>
          </w:sdtContent>
        </w:sdt>
      </w:tr>
      <w:tr w:rsidR="008B1D6A" w14:paraId="27BB134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01CCB06"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609D9140" w14:textId="016A8FD7" w:rsidR="008B1D6A" w:rsidRDefault="008B1D6A" w:rsidP="00D4088C">
            <w:r>
              <w:rPr>
                <w:rFonts w:cs="Calibri"/>
              </w:rPr>
              <w:t>Select all and select ‘No Colour’ on highlighting</w:t>
            </w:r>
          </w:p>
        </w:tc>
        <w:sdt>
          <w:sdtPr>
            <w:id w:val="193061773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7DA2B47" w14:textId="7678154E" w:rsidR="008B1D6A" w:rsidRDefault="008B1D6A" w:rsidP="00D4088C">
                <w:pPr>
                  <w:jc w:val="center"/>
                </w:pPr>
                <w:r>
                  <w:rPr>
                    <w:rFonts w:ascii="Segoe UI Symbol" w:hAnsi="Segoe UI Symbol" w:cs="Segoe UI Symbol"/>
                  </w:rPr>
                  <w:t>☐</w:t>
                </w:r>
              </w:p>
            </w:tc>
          </w:sdtContent>
        </w:sdt>
      </w:tr>
      <w:tr w:rsidR="008B1D6A" w14:paraId="3E95B4F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9346703" w14:textId="77777777" w:rsidR="008B1D6A" w:rsidRPr="00805002"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F44EFEA" w14:textId="1BA58D8F" w:rsidR="008B1D6A" w:rsidRDefault="008B1D6A" w:rsidP="00D4088C">
            <w:r w:rsidRPr="00805002">
              <w:rPr>
                <w:rFonts w:cs="Calibri"/>
              </w:rPr>
              <w:t>Use the find function and search for two spaces</w:t>
            </w:r>
            <w:r>
              <w:rPr>
                <w:rFonts w:cs="Calibri"/>
              </w:rPr>
              <w:t xml:space="preserve"> (i.e. a double space)</w:t>
            </w:r>
            <w:r w:rsidRPr="00805002">
              <w:rPr>
                <w:rFonts w:cs="Calibri"/>
              </w:rPr>
              <w:t xml:space="preserve"> to</w:t>
            </w:r>
            <w:r>
              <w:rPr>
                <w:rFonts w:cs="Calibri"/>
              </w:rPr>
              <w:t xml:space="preserve"> </w:t>
            </w:r>
            <w:r w:rsidRPr="00805002">
              <w:rPr>
                <w:rFonts w:cs="Calibri"/>
              </w:rPr>
              <w:t>make sure each field has populated</w:t>
            </w:r>
          </w:p>
        </w:tc>
        <w:sdt>
          <w:sdtPr>
            <w:id w:val="-144044933"/>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12B4D680" w14:textId="77777777" w:rsidR="008B1D6A" w:rsidRDefault="008B1D6A" w:rsidP="00D4088C">
                <w:pPr>
                  <w:jc w:val="center"/>
                </w:pPr>
                <w:r>
                  <w:rPr>
                    <w:rFonts w:ascii="Segoe UI Symbol" w:hAnsi="Segoe UI Symbol" w:cs="Segoe UI Symbol"/>
                  </w:rPr>
                  <w:t>☐</w:t>
                </w:r>
              </w:p>
            </w:tc>
          </w:sdtContent>
        </w:sdt>
      </w:tr>
      <w:tr w:rsidR="008B1D6A" w14:paraId="4DFEF2E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D3A8316"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8050F1F" w14:textId="2A60C38B" w:rsidR="008B1D6A" w:rsidRDefault="008B1D6A" w:rsidP="00D4088C">
            <w:r>
              <w:rPr>
                <w:rFonts w:cs="Calibri"/>
              </w:rPr>
              <w:t>Use the find function and search # to check that all user notes are removed</w:t>
            </w:r>
          </w:p>
        </w:tc>
        <w:sdt>
          <w:sdtPr>
            <w:id w:val="121971188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1521D542" w14:textId="77777777" w:rsidR="008B1D6A" w:rsidRDefault="008B1D6A" w:rsidP="00D4088C">
                <w:pPr>
                  <w:jc w:val="center"/>
                </w:pPr>
                <w:r>
                  <w:rPr>
                    <w:rFonts w:ascii="Segoe UI Symbol" w:hAnsi="Segoe UI Symbol" w:cs="Segoe UI Symbol"/>
                  </w:rPr>
                  <w:t>☐</w:t>
                </w:r>
              </w:p>
            </w:tc>
          </w:sdtContent>
        </w:sdt>
      </w:tr>
      <w:tr w:rsidR="008B1D6A" w14:paraId="4A0A213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A2152A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A18EA30" w14:textId="28C3C9CC" w:rsidR="008B1D6A" w:rsidRDefault="008B1D6A" w:rsidP="00D4088C">
            <w:pPr>
              <w:rPr>
                <w:rFonts w:cs="Calibri"/>
              </w:rPr>
            </w:pPr>
            <w:r>
              <w:rPr>
                <w:rFonts w:cs="Calibri"/>
              </w:rPr>
              <w:t>Use the find function and search [ to check that all user notes are removed</w:t>
            </w:r>
          </w:p>
        </w:tc>
        <w:sdt>
          <w:sdtPr>
            <w:id w:val="-186019811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28DD3A16" w14:textId="529FF686" w:rsidR="008B1D6A" w:rsidRDefault="008B1D6A" w:rsidP="00D4088C">
                <w:pPr>
                  <w:jc w:val="center"/>
                </w:pPr>
                <w:r>
                  <w:rPr>
                    <w:rFonts w:ascii="Segoe UI Symbol" w:hAnsi="Segoe UI Symbol" w:cs="Segoe UI Symbol"/>
                  </w:rPr>
                  <w:t>☐</w:t>
                </w:r>
              </w:p>
            </w:tc>
          </w:sdtContent>
        </w:sdt>
      </w:tr>
      <w:tr w:rsidR="008B1D6A" w14:paraId="49CB7DA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7A786F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2615628C" w14:textId="6B6DA032" w:rsidR="008B1D6A" w:rsidRDefault="008B1D6A" w:rsidP="00D4088C">
            <w:pPr>
              <w:rPr>
                <w:rFonts w:cs="Calibri"/>
              </w:rPr>
            </w:pPr>
            <w:r>
              <w:rPr>
                <w:rFonts w:cs="Calibri"/>
              </w:rPr>
              <w:t>Use the find function and search ‘error’</w:t>
            </w:r>
          </w:p>
        </w:tc>
        <w:sdt>
          <w:sdtPr>
            <w:id w:val="-8529505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D726CFA" w14:textId="7D48BCE4" w:rsidR="008B1D6A" w:rsidRDefault="008B1D6A" w:rsidP="00D4088C">
                <w:pPr>
                  <w:jc w:val="center"/>
                </w:pPr>
                <w:r>
                  <w:rPr>
                    <w:rFonts w:ascii="Segoe UI Symbol" w:hAnsi="Segoe UI Symbol" w:cs="Segoe UI Symbol"/>
                  </w:rPr>
                  <w:t>☐</w:t>
                </w:r>
              </w:p>
            </w:tc>
          </w:sdtContent>
        </w:sdt>
      </w:tr>
      <w:tr w:rsidR="008B1D6A" w14:paraId="79CBCD1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0AF1CA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C6A0F1A" w14:textId="20F2763F" w:rsidR="008B1D6A" w:rsidRDefault="008B1D6A" w:rsidP="00D4088C">
            <w:pPr>
              <w:rPr>
                <w:rFonts w:cs="Calibri"/>
              </w:rPr>
            </w:pPr>
            <w:r>
              <w:rPr>
                <w:rFonts w:cs="Calibri"/>
              </w:rPr>
              <w:t>Use the find function and search ‘clause 0’</w:t>
            </w:r>
          </w:p>
        </w:tc>
        <w:sdt>
          <w:sdtPr>
            <w:id w:val="38298845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6BD231C2" w14:textId="473D7873" w:rsidR="008B1D6A" w:rsidRDefault="008B1D6A" w:rsidP="00D4088C">
                <w:pPr>
                  <w:jc w:val="center"/>
                </w:pPr>
                <w:r>
                  <w:rPr>
                    <w:rFonts w:ascii="Segoe UI Symbol" w:hAnsi="Segoe UI Symbol" w:cs="Segoe UI Symbol"/>
                  </w:rPr>
                  <w:t>☐</w:t>
                </w:r>
              </w:p>
            </w:tc>
          </w:sdtContent>
        </w:sdt>
      </w:tr>
      <w:tr w:rsidR="008B1D6A" w14:paraId="7E6D992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AEA408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10588243" w14:textId="28EB6E11" w:rsidR="008B1D6A" w:rsidRPr="00131A6E" w:rsidRDefault="008B1D6A" w:rsidP="00D4088C">
            <w:pPr>
              <w:rPr>
                <w:rFonts w:cs="Calibri"/>
              </w:rPr>
            </w:pPr>
            <w:r>
              <w:rPr>
                <w:rFonts w:cs="Calibri"/>
              </w:rPr>
              <w:t>Use the find function and search for the testator’s name and check each reference is in the correct clause</w:t>
            </w:r>
          </w:p>
        </w:tc>
        <w:sdt>
          <w:sdtPr>
            <w:id w:val="96361824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2E89FAF7" w14:textId="12E94FA4" w:rsidR="008B1D6A" w:rsidRDefault="008B1D6A" w:rsidP="00D4088C">
                <w:pPr>
                  <w:jc w:val="center"/>
                </w:pPr>
                <w:r>
                  <w:rPr>
                    <w:rFonts w:ascii="Segoe UI Symbol" w:hAnsi="Segoe UI Symbol" w:cs="Segoe UI Symbol"/>
                  </w:rPr>
                  <w:t>☐</w:t>
                </w:r>
              </w:p>
            </w:tc>
          </w:sdtContent>
        </w:sdt>
      </w:tr>
      <w:tr w:rsidR="008B1D6A" w14:paraId="4981F78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1CFF237" w14:textId="77777777" w:rsidR="008B1D6A" w:rsidRPr="000E5281"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1A27CE8" w14:textId="37B9E697" w:rsidR="008B1D6A" w:rsidRDefault="008B1D6A" w:rsidP="00D4088C">
            <w:r w:rsidRPr="00805002">
              <w:rPr>
                <w:rFonts w:cs="Calibri"/>
                <w:highlight w:val="cyan"/>
              </w:rPr>
              <w:t>[#if couple]</w:t>
            </w:r>
            <w:r>
              <w:rPr>
                <w:rFonts w:cs="Calibri"/>
              </w:rPr>
              <w:t xml:space="preserve"> Use the find function and search testator’s spouse name</w:t>
            </w:r>
            <w:r w:rsidRPr="00805002">
              <w:rPr>
                <w:rFonts w:cs="Calibri"/>
              </w:rPr>
              <w:t xml:space="preserve"> </w:t>
            </w:r>
            <w:r>
              <w:rPr>
                <w:rFonts w:cs="Calibri"/>
              </w:rPr>
              <w:t>and check each reference is in the correct clause</w:t>
            </w:r>
          </w:p>
        </w:tc>
        <w:sdt>
          <w:sdtPr>
            <w:id w:val="179825653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519E85DB" w14:textId="1606E97A" w:rsidR="008B1D6A" w:rsidRDefault="008B1D6A" w:rsidP="00D4088C">
                <w:pPr>
                  <w:jc w:val="center"/>
                </w:pPr>
                <w:r>
                  <w:rPr>
                    <w:rFonts w:ascii="Segoe UI Symbol" w:hAnsi="Segoe UI Symbol" w:cs="Segoe UI Symbol"/>
                  </w:rPr>
                  <w:t>☐</w:t>
                </w:r>
              </w:p>
            </w:tc>
          </w:sdtContent>
        </w:sdt>
      </w:tr>
      <w:tr w:rsidR="008B1D6A" w14:paraId="242897E9"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4E0B396" w14:textId="77777777" w:rsidR="008B1D6A" w:rsidRPr="003C110E"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A7A924B" w14:textId="518C0D22" w:rsidR="008B1D6A" w:rsidRDefault="008B1D6A" w:rsidP="00D4088C">
            <w:pPr>
              <w:rPr>
                <w:rFonts w:cs="Calibri"/>
              </w:rPr>
            </w:pPr>
            <w:r>
              <w:rPr>
                <w:rFonts w:cs="Calibri"/>
              </w:rPr>
              <w:t xml:space="preserve">Run a spell check </w:t>
            </w:r>
          </w:p>
        </w:tc>
        <w:sdt>
          <w:sdtPr>
            <w:id w:val="-33947814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B4AEB10" w14:textId="3E5028B5" w:rsidR="008B1D6A" w:rsidRDefault="008B1D6A" w:rsidP="00D4088C">
                <w:pPr>
                  <w:jc w:val="center"/>
                </w:pPr>
                <w:r>
                  <w:rPr>
                    <w:rFonts w:ascii="Segoe UI Symbol" w:hAnsi="Segoe UI Symbol" w:cs="Segoe UI Symbol"/>
                  </w:rPr>
                  <w:t>☐</w:t>
                </w:r>
              </w:p>
            </w:tc>
          </w:sdtContent>
        </w:sdt>
      </w:tr>
      <w:tr w:rsidR="008B1D6A" w14:paraId="1F93BBC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5FB7719" w14:textId="77777777" w:rsidR="008B1D6A" w:rsidRPr="003C110E"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BFA7B0A" w14:textId="3B5639FD" w:rsidR="008B1D6A" w:rsidRDefault="008B1D6A" w:rsidP="00D4088C">
            <w:pPr>
              <w:rPr>
                <w:rFonts w:cs="Calibri"/>
              </w:rPr>
            </w:pPr>
            <w:r>
              <w:rPr>
                <w:rFonts w:cs="Calibri"/>
              </w:rPr>
              <w:t>Check every page is numbered</w:t>
            </w:r>
          </w:p>
        </w:tc>
        <w:sdt>
          <w:sdtPr>
            <w:id w:val="1938146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534F2D8F" w14:textId="092C9481" w:rsidR="008B1D6A" w:rsidRDefault="008B1D6A" w:rsidP="00D4088C">
                <w:pPr>
                  <w:jc w:val="center"/>
                </w:pPr>
                <w:r>
                  <w:rPr>
                    <w:rFonts w:ascii="Segoe UI Symbol" w:hAnsi="Segoe UI Symbol" w:cs="Segoe UI Symbol"/>
                  </w:rPr>
                  <w:t>☐</w:t>
                </w:r>
              </w:p>
            </w:tc>
          </w:sdtContent>
        </w:sdt>
      </w:tr>
      <w:tr w:rsidR="008B1D6A" w14:paraId="61E9DEE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802236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71A1287" w14:textId="5D93BE8E" w:rsidR="008B1D6A" w:rsidRDefault="008B1D6A" w:rsidP="00D4088C">
            <w:r>
              <w:t>If providing to a supervising lawyer in tracking, be sure to check the documents in ‘simple markup’ and in ‘all markup’ as the formatting may be different and some highlight may not be removed</w:t>
            </w:r>
          </w:p>
        </w:tc>
        <w:sdt>
          <w:sdtPr>
            <w:id w:val="103916728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E45AC25" w14:textId="606BD90E" w:rsidR="008B1D6A" w:rsidRDefault="008B1D6A" w:rsidP="00D4088C">
                <w:pPr>
                  <w:jc w:val="center"/>
                </w:pPr>
                <w:r>
                  <w:rPr>
                    <w:rFonts w:ascii="Segoe UI Symbol" w:hAnsi="Segoe UI Symbol" w:cs="Segoe UI Symbol"/>
                  </w:rPr>
                  <w:t>☐</w:t>
                </w:r>
              </w:p>
            </w:tc>
          </w:sdtContent>
        </w:sdt>
      </w:tr>
      <w:tr w:rsidR="000F5DA0" w14:paraId="12A4A80C" w14:textId="77777777" w:rsidTr="00ED3B4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8B99562" w14:textId="18B8FED6" w:rsidR="000F5DA0" w:rsidRPr="009A0DAD" w:rsidRDefault="000F5DA0" w:rsidP="00D4088C">
            <w:pPr>
              <w:rPr>
                <w:b/>
                <w:bCs/>
              </w:rPr>
            </w:pPr>
            <w:r w:rsidRPr="00805002">
              <w:rPr>
                <w:rFonts w:cs="Calibri"/>
                <w:highlight w:val="cyan"/>
              </w:rPr>
              <w:t>[#if couple]</w:t>
            </w:r>
            <w:r>
              <w:rPr>
                <w:rFonts w:cs="Calibri"/>
              </w:rPr>
              <w:t xml:space="preserve"> </w:t>
            </w:r>
            <w:r w:rsidRPr="009A0DAD">
              <w:rPr>
                <w:rFonts w:asciiTheme="minorHAnsi" w:hAnsiTheme="minorHAnsi" w:cstheme="minorHAnsi"/>
                <w:b/>
                <w:bCs/>
              </w:rPr>
              <w:t>Mirroring Documents</w:t>
            </w:r>
          </w:p>
        </w:tc>
      </w:tr>
      <w:tr w:rsidR="008B1D6A" w14:paraId="3625D15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E25EBE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06F508B" w14:textId="15C33DC8" w:rsidR="008B1D6A" w:rsidRDefault="008B1D6A" w:rsidP="00D4088C">
            <w:r>
              <w:t>Are mirror documents required</w:t>
            </w:r>
          </w:p>
          <w:p w14:paraId="51CF86DC" w14:textId="7971CF0B" w:rsidR="008B1D6A" w:rsidRDefault="008B1D6A" w:rsidP="00D4088C">
            <w:r>
              <w:t xml:space="preserve">Have these been </w:t>
            </w:r>
            <w:r w:rsidRPr="000019AB">
              <w:t>prepared using the checklist</w:t>
            </w:r>
            <w:r>
              <w:rPr>
                <w:rStyle w:val="FootnoteReference"/>
              </w:rPr>
              <w:footnoteReference w:id="46"/>
            </w:r>
          </w:p>
        </w:tc>
        <w:sdt>
          <w:sdtPr>
            <w:id w:val="-177338856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1759019" w14:textId="77777777" w:rsidR="008B1D6A" w:rsidRDefault="008B1D6A" w:rsidP="00D4088C">
                <w:pPr>
                  <w:jc w:val="center"/>
                </w:pPr>
                <w:r>
                  <w:rPr>
                    <w:rFonts w:ascii="Segoe UI Symbol" w:hAnsi="Segoe UI Symbol" w:cs="Segoe UI Symbol"/>
                  </w:rPr>
                  <w:t>☐</w:t>
                </w:r>
              </w:p>
            </w:tc>
          </w:sdtContent>
        </w:sdt>
      </w:tr>
      <w:tr w:rsidR="008B1D6A" w14:paraId="62DA16A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1DEBD7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1956A23" w14:textId="0FD823B6" w:rsidR="008B1D6A" w:rsidRDefault="008B1D6A" w:rsidP="00D4088C">
            <w:r>
              <w:t>Are there any specific changes that need to be made for just one set of documents e.g. one spouse wants a specific gift of jewellery in their will, or the main residence is only held in one spouse’s name</w:t>
            </w:r>
          </w:p>
        </w:tc>
        <w:sdt>
          <w:sdtPr>
            <w:id w:val="-170863369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7C1593F5" w14:textId="77777777" w:rsidR="008B1D6A" w:rsidRDefault="008B1D6A" w:rsidP="00D4088C">
                <w:pPr>
                  <w:jc w:val="center"/>
                </w:pPr>
                <w:r>
                  <w:rPr>
                    <w:rFonts w:ascii="Segoe UI Symbol" w:hAnsi="Segoe UI Symbol" w:cs="Segoe UI Symbol"/>
                  </w:rPr>
                  <w:t>☐</w:t>
                </w:r>
              </w:p>
            </w:tc>
          </w:sdtContent>
        </w:sdt>
      </w:tr>
      <w:tr w:rsidR="000F5DA0" w14:paraId="0C2C5E46" w14:textId="77777777" w:rsidTr="0040085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3A35623" w14:textId="0917F2A6" w:rsidR="000F5DA0" w:rsidRDefault="000F5DA0" w:rsidP="00D4088C">
            <w:r w:rsidRPr="009A0DAD">
              <w:rPr>
                <w:rFonts w:asciiTheme="minorHAnsi" w:hAnsiTheme="minorHAnsi" w:cstheme="minorHAnsi"/>
                <w:b/>
                <w:bCs/>
              </w:rPr>
              <w:t>Finalising Documents</w:t>
            </w:r>
          </w:p>
        </w:tc>
      </w:tr>
      <w:tr w:rsidR="008B1D6A" w14:paraId="0968214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FCD2A3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D2969F1" w14:textId="6E11112F" w:rsidR="008B1D6A" w:rsidRDefault="008B1D6A" w:rsidP="00D4088C">
            <w:r>
              <w:rPr>
                <w:rFonts w:cs="Calibri"/>
              </w:rPr>
              <w:t>Use the find function and search ‘Invalid’</w:t>
            </w:r>
          </w:p>
        </w:tc>
        <w:sdt>
          <w:sdtPr>
            <w:id w:val="-71188582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58D1F31A" w14:textId="77777777" w:rsidR="008B1D6A" w:rsidRDefault="008B1D6A" w:rsidP="00D4088C">
                <w:pPr>
                  <w:jc w:val="center"/>
                </w:pPr>
                <w:r>
                  <w:rPr>
                    <w:rFonts w:ascii="Segoe UI Symbol" w:hAnsi="Segoe UI Symbol" w:cs="Segoe UI Symbol"/>
                  </w:rPr>
                  <w:t>☐</w:t>
                </w:r>
              </w:p>
            </w:tc>
          </w:sdtContent>
        </w:sdt>
      </w:tr>
      <w:tr w:rsidR="008B1D6A" w14:paraId="079A2C1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4C8440C"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AD0C1A1" w14:textId="1CD865DB" w:rsidR="008B1D6A" w:rsidRDefault="008B1D6A" w:rsidP="00D4088C">
            <w:r>
              <w:rPr>
                <w:rFonts w:cs="Calibri"/>
              </w:rPr>
              <w:t>Use the find function and search ‘error’</w:t>
            </w:r>
          </w:p>
        </w:tc>
        <w:sdt>
          <w:sdtPr>
            <w:id w:val="-81294514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35A149D4" w14:textId="77777777" w:rsidR="008B1D6A" w:rsidRDefault="008B1D6A" w:rsidP="00D4088C">
                <w:pPr>
                  <w:jc w:val="center"/>
                </w:pPr>
                <w:r>
                  <w:rPr>
                    <w:rFonts w:ascii="Segoe UI Symbol" w:hAnsi="Segoe UI Symbol" w:cs="Segoe UI Symbol"/>
                  </w:rPr>
                  <w:t>☐</w:t>
                </w:r>
              </w:p>
            </w:tc>
          </w:sdtContent>
        </w:sdt>
      </w:tr>
      <w:tr w:rsidR="008B1D6A" w14:paraId="247E7D2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211F87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09A8C01" w14:textId="01E750C3" w:rsidR="008B1D6A" w:rsidRDefault="008B1D6A" w:rsidP="00D4088C">
            <w:r>
              <w:rPr>
                <w:rFonts w:cs="Calibri"/>
              </w:rPr>
              <w:t>Use the find function and search ‘clause 0’</w:t>
            </w:r>
          </w:p>
        </w:tc>
        <w:sdt>
          <w:sdtPr>
            <w:id w:val="-32181336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3F9E2CD" w14:textId="77777777" w:rsidR="008B1D6A" w:rsidRDefault="008B1D6A" w:rsidP="00D4088C">
                <w:pPr>
                  <w:jc w:val="center"/>
                </w:pPr>
                <w:r>
                  <w:rPr>
                    <w:rFonts w:ascii="Segoe UI Symbol" w:hAnsi="Segoe UI Symbol" w:cs="Segoe UI Symbol"/>
                  </w:rPr>
                  <w:t>☐</w:t>
                </w:r>
              </w:p>
            </w:tc>
          </w:sdtContent>
        </w:sdt>
      </w:tr>
      <w:tr w:rsidR="008B1D6A" w14:paraId="5D1CC7D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AA3740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43E2C33" w14:textId="2676E7B3" w:rsidR="008B1D6A" w:rsidRDefault="008B1D6A" w:rsidP="00D4088C">
            <w:r>
              <w:t>Check for formatting errors</w:t>
            </w:r>
          </w:p>
        </w:tc>
        <w:sdt>
          <w:sdtPr>
            <w:id w:val="161671718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703284C7" w14:textId="133D0DB5" w:rsidR="008B1D6A" w:rsidRDefault="008B1D6A" w:rsidP="00D4088C">
                <w:pPr>
                  <w:jc w:val="center"/>
                </w:pPr>
                <w:r>
                  <w:rPr>
                    <w:rFonts w:ascii="Segoe UI Symbol" w:hAnsi="Segoe UI Symbol" w:cs="Segoe UI Symbol"/>
                  </w:rPr>
                  <w:t>☐</w:t>
                </w:r>
              </w:p>
            </w:tc>
          </w:sdtContent>
        </w:sdt>
      </w:tr>
      <w:tr w:rsidR="008B1D6A" w14:paraId="2EB409A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48DF87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3953C15" w14:textId="2BA7EF24" w:rsidR="008B1D6A" w:rsidRDefault="008B1D6A" w:rsidP="00D4088C">
            <w:r>
              <w:t>Once converted to PDF, open each document and check again to ensure no ‘invalid’ or ‘error’ terms showing from cross referencing issues</w:t>
            </w:r>
          </w:p>
        </w:tc>
        <w:sdt>
          <w:sdtPr>
            <w:id w:val="-140274980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F2EBA76" w14:textId="77777777" w:rsidR="008B1D6A" w:rsidRDefault="008B1D6A" w:rsidP="00D4088C">
                <w:pPr>
                  <w:jc w:val="center"/>
                </w:pPr>
                <w:r>
                  <w:rPr>
                    <w:rFonts w:ascii="Segoe UI Symbol" w:hAnsi="Segoe UI Symbol" w:cs="Segoe UI Symbol"/>
                  </w:rPr>
                  <w:t>☐</w:t>
                </w:r>
              </w:p>
            </w:tc>
          </w:sdtContent>
        </w:sdt>
      </w:tr>
    </w:tbl>
    <w:p w14:paraId="4BE200E9" w14:textId="77777777" w:rsidR="005B3595" w:rsidRDefault="005B3595" w:rsidP="005B3595"/>
    <w:p w14:paraId="228D1535" w14:textId="77777777" w:rsidR="001C0AC9" w:rsidRDefault="001C0AC9"/>
    <w:sectPr w:rsidR="001C0AC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E33E" w14:textId="77777777" w:rsidR="00B820BC" w:rsidRDefault="00B820BC" w:rsidP="005B3595">
      <w:pPr>
        <w:spacing w:before="0" w:after="0"/>
      </w:pPr>
      <w:r>
        <w:separator/>
      </w:r>
    </w:p>
    <w:p w14:paraId="045AB511" w14:textId="77777777" w:rsidR="00B820BC" w:rsidRDefault="00B820BC"/>
  </w:endnote>
  <w:endnote w:type="continuationSeparator" w:id="0">
    <w:p w14:paraId="216CD222" w14:textId="77777777" w:rsidR="00B820BC" w:rsidRDefault="00B820BC" w:rsidP="005B3595">
      <w:pPr>
        <w:spacing w:before="0" w:after="0"/>
      </w:pPr>
      <w:r>
        <w:continuationSeparator/>
      </w:r>
    </w:p>
    <w:p w14:paraId="66C635BF" w14:textId="77777777" w:rsidR="00B820BC" w:rsidRDefault="00B82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924329"/>
      <w:docPartObj>
        <w:docPartGallery w:val="Page Numbers (Bottom of Page)"/>
        <w:docPartUnique/>
      </w:docPartObj>
    </w:sdtPr>
    <w:sdtEndPr>
      <w:rPr>
        <w:noProof/>
      </w:rPr>
    </w:sdtEndPr>
    <w:sdtContent>
      <w:p w14:paraId="5238B117" w14:textId="524CF249" w:rsidR="005B3595" w:rsidRDefault="005B35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24A62" w14:textId="77777777" w:rsidR="005B3595" w:rsidRDefault="005B3595">
    <w:pPr>
      <w:pStyle w:val="Footer"/>
    </w:pPr>
  </w:p>
  <w:p w14:paraId="4F5C4349" w14:textId="77777777" w:rsidR="0068084D" w:rsidRDefault="006808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F24D" w14:textId="77777777" w:rsidR="00B820BC" w:rsidRDefault="00B820BC" w:rsidP="005B3595">
      <w:pPr>
        <w:spacing w:before="0" w:after="0"/>
      </w:pPr>
      <w:r>
        <w:separator/>
      </w:r>
    </w:p>
    <w:p w14:paraId="236D7381" w14:textId="77777777" w:rsidR="00B820BC" w:rsidRDefault="00B820BC"/>
  </w:footnote>
  <w:footnote w:type="continuationSeparator" w:id="0">
    <w:p w14:paraId="23A903EF" w14:textId="77777777" w:rsidR="00B820BC" w:rsidRDefault="00B820BC" w:rsidP="005B3595">
      <w:pPr>
        <w:spacing w:before="0" w:after="0"/>
      </w:pPr>
      <w:r>
        <w:continuationSeparator/>
      </w:r>
    </w:p>
    <w:p w14:paraId="2608AA70" w14:textId="77777777" w:rsidR="00B820BC" w:rsidRDefault="00B820BC"/>
  </w:footnote>
  <w:footnote w:id="1">
    <w:p w14:paraId="30CDCE05" w14:textId="5B2F2D0A" w:rsidR="008B1D6A" w:rsidRPr="00957046" w:rsidRDefault="008B1D6A">
      <w:pPr>
        <w:pStyle w:val="FootnoteText"/>
      </w:pPr>
      <w:r w:rsidRPr="00957046">
        <w:rPr>
          <w:rStyle w:val="FootnoteReference"/>
        </w:rPr>
        <w:footnoteRef/>
      </w:r>
      <w:r w:rsidRPr="00957046">
        <w:t xml:space="preserve"> If you are a member of the TT Precedents Club, you can find recordings of where we have discussed how to address this </w:t>
      </w:r>
      <w:hyperlink r:id="rId1" w:history="1">
        <w:r w:rsidRPr="00957046">
          <w:rPr>
            <w:rStyle w:val="Hyperlink"/>
          </w:rPr>
          <w:t>here</w:t>
        </w:r>
      </w:hyperlink>
      <w:r w:rsidRPr="00957046">
        <w:t xml:space="preserve">. There are additional recordings on this topic also available to TT Precedent Club members, that can be found by searching ‘binding financial agreement’ in the portal. </w:t>
      </w:r>
    </w:p>
  </w:footnote>
  <w:footnote w:id="2">
    <w:p w14:paraId="23E60966" w14:textId="26F9545E" w:rsidR="008B1D6A" w:rsidRPr="009A0DAD" w:rsidRDefault="008B1D6A">
      <w:pPr>
        <w:pStyle w:val="FootnoteText"/>
        <w:rPr>
          <w:lang w:val="en-US"/>
        </w:rPr>
      </w:pPr>
      <w:r>
        <w:rPr>
          <w:rStyle w:val="FootnoteReference"/>
        </w:rPr>
        <w:footnoteRef/>
      </w:r>
      <w:r>
        <w:t xml:space="preserve"> </w:t>
      </w:r>
      <w:r>
        <w:rPr>
          <w:lang w:val="en-US"/>
        </w:rPr>
        <w:t xml:space="preserve">See our training on when to use a TT </w:t>
      </w:r>
      <w:hyperlink r:id="rId2" w:history="1">
        <w:r w:rsidRPr="00EF7268">
          <w:rPr>
            <w:rStyle w:val="Hyperlink"/>
            <w:lang w:val="en-US"/>
          </w:rPr>
          <w:t>here</w:t>
        </w:r>
      </w:hyperlink>
      <w:r>
        <w:rPr>
          <w:lang w:val="en-US"/>
        </w:rPr>
        <w:t xml:space="preserve">. </w:t>
      </w:r>
    </w:p>
  </w:footnote>
  <w:footnote w:id="3">
    <w:p w14:paraId="16AC6FEE" w14:textId="032E0D2F" w:rsidR="008B1D6A" w:rsidRPr="009A0DAD" w:rsidRDefault="008B1D6A">
      <w:pPr>
        <w:pStyle w:val="FootnoteText"/>
        <w:rPr>
          <w:lang w:val="en-US"/>
        </w:rPr>
      </w:pPr>
      <w:r>
        <w:rPr>
          <w:rStyle w:val="FootnoteReference"/>
        </w:rPr>
        <w:footnoteRef/>
      </w:r>
      <w:r>
        <w:t xml:space="preserve"> </w:t>
      </w:r>
      <w:r>
        <w:rPr>
          <w:lang w:val="en-US"/>
        </w:rPr>
        <w:t xml:space="preserve">See our training on when to use Single or multi TT wills </w:t>
      </w:r>
      <w:hyperlink r:id="rId3" w:history="1">
        <w:r w:rsidRPr="00944B88">
          <w:rPr>
            <w:rStyle w:val="Hyperlink"/>
            <w:lang w:val="en-US"/>
          </w:rPr>
          <w:t>here</w:t>
        </w:r>
      </w:hyperlink>
      <w:r>
        <w:rPr>
          <w:lang w:val="en-US"/>
        </w:rPr>
        <w:t xml:space="preserve"> and </w:t>
      </w:r>
      <w:hyperlink r:id="rId4" w:history="1">
        <w:r w:rsidRPr="00944B88">
          <w:rPr>
            <w:rStyle w:val="Hyperlink"/>
            <w:lang w:val="en-US"/>
          </w:rPr>
          <w:t>here</w:t>
        </w:r>
      </w:hyperlink>
      <w:r>
        <w:rPr>
          <w:lang w:val="en-US"/>
        </w:rPr>
        <w:t>.</w:t>
      </w:r>
    </w:p>
  </w:footnote>
  <w:footnote w:id="4">
    <w:p w14:paraId="151DC293" w14:textId="02D8E8E9" w:rsidR="008B1D6A" w:rsidRPr="00957046" w:rsidRDefault="008B1D6A">
      <w:pPr>
        <w:pStyle w:val="FootnoteText"/>
      </w:pPr>
      <w:r w:rsidRPr="00957046">
        <w:rPr>
          <w:rStyle w:val="FootnoteReference"/>
        </w:rPr>
        <w:footnoteRef/>
      </w:r>
      <w:r w:rsidRPr="00957046">
        <w:t xml:space="preserve"> See our training when to use the Foreign Person excluded TT Precedents </w:t>
      </w:r>
      <w:hyperlink r:id="rId5" w:history="1">
        <w:r w:rsidRPr="00957046">
          <w:rPr>
            <w:rStyle w:val="Hyperlink"/>
          </w:rPr>
          <w:t>here</w:t>
        </w:r>
      </w:hyperlink>
      <w:r w:rsidRPr="00957046">
        <w:t>.</w:t>
      </w:r>
    </w:p>
  </w:footnote>
  <w:footnote w:id="5">
    <w:p w14:paraId="54FD1682" w14:textId="455EAFC4" w:rsidR="008B1D6A" w:rsidRPr="00957046" w:rsidRDefault="008B1D6A">
      <w:pPr>
        <w:pStyle w:val="FootnoteText"/>
      </w:pPr>
      <w:r w:rsidRPr="00957046">
        <w:rPr>
          <w:rStyle w:val="FootnoteReference"/>
        </w:rPr>
        <w:footnoteRef/>
      </w:r>
      <w:r w:rsidRPr="00957046">
        <w:t xml:space="preserve"> See our training on this summary </w:t>
      </w:r>
      <w:hyperlink r:id="rId6" w:history="1">
        <w:r w:rsidRPr="00957046">
          <w:rPr>
            <w:rStyle w:val="Hyperlink"/>
          </w:rPr>
          <w:t>here</w:t>
        </w:r>
      </w:hyperlink>
      <w:r w:rsidRPr="00957046">
        <w:t xml:space="preserve">. </w:t>
      </w:r>
    </w:p>
  </w:footnote>
  <w:footnote w:id="6">
    <w:p w14:paraId="7A5D173C" w14:textId="3C9BC288" w:rsidR="008B1D6A" w:rsidRPr="00957046" w:rsidRDefault="008B1D6A">
      <w:pPr>
        <w:pStyle w:val="FootnoteText"/>
      </w:pPr>
      <w:r w:rsidRPr="00957046">
        <w:rPr>
          <w:rStyle w:val="FootnoteReference"/>
        </w:rPr>
        <w:footnoteRef/>
      </w:r>
      <w:r w:rsidRPr="00957046">
        <w:t xml:space="preserve"> See our explanation of the naming conventions we use </w:t>
      </w:r>
      <w:hyperlink r:id="rId7" w:history="1">
        <w:r w:rsidRPr="00957046">
          <w:rPr>
            <w:rStyle w:val="Hyperlink"/>
          </w:rPr>
          <w:t>here</w:t>
        </w:r>
      </w:hyperlink>
      <w:r w:rsidRPr="00957046">
        <w:t xml:space="preserve">. </w:t>
      </w:r>
    </w:p>
  </w:footnote>
  <w:footnote w:id="7">
    <w:p w14:paraId="004BFD7E" w14:textId="6CD9D1BC" w:rsidR="008B1D6A" w:rsidRPr="009A0DAD" w:rsidRDefault="008B1D6A">
      <w:pPr>
        <w:pStyle w:val="FootnoteText"/>
        <w:rPr>
          <w:lang w:val="en-US"/>
        </w:rPr>
      </w:pPr>
      <w:r>
        <w:rPr>
          <w:rStyle w:val="FootnoteReference"/>
        </w:rPr>
        <w:footnoteRef/>
      </w:r>
      <w:r>
        <w:t xml:space="preserve"> </w:t>
      </w:r>
      <w:r>
        <w:rPr>
          <w:lang w:val="en-US"/>
        </w:rPr>
        <w:t xml:space="preserve">See our training on who to nominate as appointor </w:t>
      </w:r>
      <w:hyperlink r:id="rId8" w:history="1">
        <w:r w:rsidRPr="00B01637">
          <w:rPr>
            <w:rStyle w:val="Hyperlink"/>
            <w:lang w:val="en-US"/>
          </w:rPr>
          <w:t>here</w:t>
        </w:r>
      </w:hyperlink>
      <w:r>
        <w:rPr>
          <w:lang w:val="en-US"/>
        </w:rPr>
        <w:t xml:space="preserve">. </w:t>
      </w:r>
    </w:p>
  </w:footnote>
  <w:footnote w:id="8">
    <w:p w14:paraId="3213FC7F" w14:textId="07C86F4F" w:rsidR="008B1D6A" w:rsidRPr="00957046" w:rsidRDefault="008B1D6A" w:rsidP="009B431E">
      <w:pPr>
        <w:pStyle w:val="FootnoteText"/>
      </w:pPr>
      <w:r w:rsidRPr="00957046">
        <w:rPr>
          <w:rStyle w:val="FootnoteReference"/>
        </w:rPr>
        <w:footnoteRef/>
      </w:r>
      <w:r w:rsidRPr="00957046">
        <w:t xml:space="preserve"> </w:t>
      </w:r>
      <w:r>
        <w:t>See the Meeting Agenda template for a list of considerations. For example, t</w:t>
      </w:r>
      <w:r w:rsidRPr="00957046">
        <w:t xml:space="preserve">he maximum number of executors that can be acting at any one time is 4. Executors should act jointly (and not severally or by majority) as regardless of the manner of acting, they are held jointly liable. </w:t>
      </w:r>
    </w:p>
  </w:footnote>
  <w:footnote w:id="9">
    <w:p w14:paraId="6E879110" w14:textId="77777777" w:rsidR="00B969FB" w:rsidRPr="00957046" w:rsidRDefault="00B969FB" w:rsidP="00B969FB">
      <w:pPr>
        <w:pStyle w:val="FootnoteText"/>
      </w:pPr>
      <w:r w:rsidRPr="00957046">
        <w:rPr>
          <w:rStyle w:val="FootnoteReference"/>
        </w:rPr>
        <w:footnoteRef/>
      </w:r>
      <w:r w:rsidRPr="00957046">
        <w:t xml:space="preserve"> See s49A Wills Act (Vic) and s65B Administration and Probate Act (Vic).</w:t>
      </w:r>
      <w:r>
        <w:t xml:space="preserve"> Our </w:t>
      </w:r>
      <w:hyperlink r:id="rId9" w:history="1">
        <w:r w:rsidRPr="00442147">
          <w:rPr>
            <w:rStyle w:val="Hyperlink"/>
          </w:rPr>
          <w:t>Estate Planning Pricing Toolkit</w:t>
        </w:r>
      </w:hyperlink>
      <w:r>
        <w:t xml:space="preserve"> includes a template to use. </w:t>
      </w:r>
    </w:p>
  </w:footnote>
  <w:footnote w:id="10">
    <w:p w14:paraId="0DBD5BF3" w14:textId="53419933" w:rsidR="008B1D6A" w:rsidRPr="00E03E6A" w:rsidRDefault="008B1D6A">
      <w:pPr>
        <w:pStyle w:val="FootnoteText"/>
        <w:rPr>
          <w:lang w:val="en-US"/>
        </w:rPr>
      </w:pPr>
      <w:r>
        <w:rPr>
          <w:rStyle w:val="FootnoteReference"/>
        </w:rPr>
        <w:footnoteRef/>
      </w:r>
      <w:r>
        <w:t xml:space="preserve"> If yes, consider adding to your advice letter/letter sending drafts that the client should obtain family law advice in relation to this as the Family Law Court will always consider the surviving biological parent as having shared parental responsibility unless there is a parenting order in place (see section 61C Family Law Act). See the Meeting Agenda template for a list of considerations on who to appoint as a guardian.</w:t>
      </w:r>
    </w:p>
  </w:footnote>
  <w:footnote w:id="11">
    <w:p w14:paraId="73BD46BD" w14:textId="4B54776E" w:rsidR="008B1D6A" w:rsidRPr="009A0DAD" w:rsidRDefault="008B1D6A">
      <w:pPr>
        <w:pStyle w:val="FootnoteText"/>
        <w:rPr>
          <w:lang w:val="en-US"/>
        </w:rPr>
      </w:pPr>
      <w:r>
        <w:rPr>
          <w:rStyle w:val="FootnoteReference"/>
        </w:rPr>
        <w:footnoteRef/>
      </w:r>
      <w:r>
        <w:t xml:space="preserve"> </w:t>
      </w:r>
      <w:r w:rsidRPr="00957046">
        <w:t xml:space="preserve">If you are a member of the TT Precedents Club, you can find </w:t>
      </w:r>
      <w:r>
        <w:t xml:space="preserve">a recording of where we have discussed </w:t>
      </w:r>
      <w:r>
        <w:rPr>
          <w:lang w:val="en-US"/>
        </w:rPr>
        <w:t xml:space="preserve">using superannuation and life insurance to pay debt </w:t>
      </w:r>
      <w:hyperlink r:id="rId10" w:history="1">
        <w:r w:rsidRPr="00F86A6A">
          <w:rPr>
            <w:rStyle w:val="Hyperlink"/>
            <w:lang w:val="en-US"/>
          </w:rPr>
          <w:t>here</w:t>
        </w:r>
      </w:hyperlink>
      <w:r>
        <w:rPr>
          <w:lang w:val="en-US"/>
        </w:rPr>
        <w:t xml:space="preserve">. </w:t>
      </w:r>
    </w:p>
  </w:footnote>
  <w:footnote w:id="12">
    <w:p w14:paraId="60CAD5D3" w14:textId="24B6E758" w:rsidR="008B1D6A" w:rsidRPr="00957046" w:rsidRDefault="008B1D6A">
      <w:pPr>
        <w:pStyle w:val="FootnoteText"/>
      </w:pPr>
      <w:r w:rsidRPr="00957046">
        <w:rPr>
          <w:rStyle w:val="FootnoteReference"/>
        </w:rPr>
        <w:footnoteRef/>
      </w:r>
      <w:r w:rsidRPr="00957046">
        <w:t xml:space="preserve"> See our training on equalisation </w:t>
      </w:r>
      <w:hyperlink r:id="rId11" w:history="1">
        <w:r w:rsidRPr="00957046">
          <w:rPr>
            <w:rStyle w:val="Hyperlink"/>
          </w:rPr>
          <w:t>here</w:t>
        </w:r>
      </w:hyperlink>
      <w:r w:rsidRPr="00957046">
        <w:t xml:space="preserve">. </w:t>
      </w:r>
    </w:p>
  </w:footnote>
  <w:footnote w:id="13">
    <w:p w14:paraId="0CADE05F" w14:textId="01F3B51F" w:rsidR="008B1D6A" w:rsidRPr="009A0DAD" w:rsidRDefault="008B1D6A">
      <w:pPr>
        <w:pStyle w:val="FootnoteText"/>
        <w:rPr>
          <w:lang w:val="en-US"/>
        </w:rPr>
      </w:pPr>
      <w:r>
        <w:rPr>
          <w:rStyle w:val="FootnoteReference"/>
        </w:rPr>
        <w:footnoteRef/>
      </w:r>
      <w:r>
        <w:t xml:space="preserve"> </w:t>
      </w:r>
      <w:r>
        <w:rPr>
          <w:lang w:val="en-US"/>
        </w:rPr>
        <w:t xml:space="preserve">See our training on UPEs </w:t>
      </w:r>
      <w:hyperlink r:id="rId12" w:history="1">
        <w:r w:rsidRPr="00904D5E">
          <w:rPr>
            <w:rStyle w:val="Hyperlink"/>
            <w:lang w:val="en-US"/>
          </w:rPr>
          <w:t>here</w:t>
        </w:r>
      </w:hyperlink>
      <w:r>
        <w:rPr>
          <w:lang w:val="en-US"/>
        </w:rPr>
        <w:t xml:space="preserve">. </w:t>
      </w:r>
    </w:p>
  </w:footnote>
  <w:footnote w:id="14">
    <w:p w14:paraId="7070AC45" w14:textId="11373BC0" w:rsidR="008B1D6A" w:rsidRPr="00957046" w:rsidRDefault="008B1D6A">
      <w:pPr>
        <w:pStyle w:val="FootnoteText"/>
      </w:pPr>
      <w:r w:rsidRPr="00957046">
        <w:rPr>
          <w:rStyle w:val="FootnoteReference"/>
        </w:rPr>
        <w:footnoteRef/>
      </w:r>
      <w:r w:rsidRPr="00957046">
        <w:t xml:space="preserve"> Note that if the gift is real property, our precedent has a clause that specifically states that the gift is charged with the payment of that debt (i.e. the debt follows the item). If you are a member of the TT Precedents Club, you can find </w:t>
      </w:r>
      <w:r>
        <w:t xml:space="preserve">a recording of where we have discussed this </w:t>
      </w:r>
      <w:hyperlink r:id="rId13" w:history="1">
        <w:r w:rsidRPr="006F1531">
          <w:rPr>
            <w:rStyle w:val="Hyperlink"/>
          </w:rPr>
          <w:t>here</w:t>
        </w:r>
      </w:hyperlink>
      <w:r w:rsidRPr="00957046">
        <w:t xml:space="preserve">. For any gifts that require FIRB approval, our precedent specifically states that the costs of the approval are worn by the beneficiary of the gift. </w:t>
      </w:r>
      <w:r>
        <w:t xml:space="preserve">See below for an explanation of our boilerplate clauses. </w:t>
      </w:r>
    </w:p>
  </w:footnote>
  <w:footnote w:id="15">
    <w:p w14:paraId="011EE8A6" w14:textId="1240EFEB" w:rsidR="008B1D6A" w:rsidRPr="00957046" w:rsidRDefault="008B1D6A">
      <w:pPr>
        <w:pStyle w:val="FootnoteText"/>
      </w:pPr>
      <w:r w:rsidRPr="00957046">
        <w:rPr>
          <w:rStyle w:val="FootnoteReference"/>
        </w:rPr>
        <w:footnoteRef/>
      </w:r>
      <w:r w:rsidRPr="00957046">
        <w:t xml:space="preserve"> </w:t>
      </w:r>
      <w:r w:rsidR="00EE03D1" w:rsidRPr="00805002">
        <w:rPr>
          <w:rFonts w:cs="Calibri"/>
          <w:highlight w:val="cyan"/>
        </w:rPr>
        <w:t>[#if couple]</w:t>
      </w:r>
      <w:r w:rsidR="00EE03D1">
        <w:rPr>
          <w:rFonts w:cs="Calibri"/>
        </w:rPr>
        <w:t xml:space="preserve"> </w:t>
      </w:r>
      <w:r w:rsidRPr="00957046">
        <w:t>This clause reflects that, if a couple</w:t>
      </w:r>
      <w:r>
        <w:t xml:space="preserve"> and the testamentary trust starts immediately on the death of the testator</w:t>
      </w:r>
      <w:r w:rsidRPr="00957046">
        <w:t xml:space="preserve">, there may be situations where mirror trusts get established that are on identical terms and it may be more appropriate to ‘combine’ them. If you are a member of the TT Precedents Club, you can find </w:t>
      </w:r>
      <w:r>
        <w:t xml:space="preserve">a recording of where we have discussed this </w:t>
      </w:r>
      <w:hyperlink r:id="rId14" w:history="1">
        <w:r w:rsidRPr="00213142">
          <w:rPr>
            <w:rStyle w:val="Hyperlink"/>
          </w:rPr>
          <w:t>here</w:t>
        </w:r>
      </w:hyperlink>
      <w:r>
        <w:t xml:space="preserve">. </w:t>
      </w:r>
    </w:p>
  </w:footnote>
  <w:footnote w:id="16">
    <w:p w14:paraId="233993B6" w14:textId="2BFBE5BB" w:rsidR="008B1D6A" w:rsidRDefault="008B1D6A">
      <w:pPr>
        <w:pStyle w:val="FootnoteText"/>
      </w:pPr>
      <w:r>
        <w:rPr>
          <w:rStyle w:val="FootnoteReference"/>
        </w:rPr>
        <w:footnoteRef/>
      </w:r>
      <w:r>
        <w:t xml:space="preserve"> </w:t>
      </w:r>
      <w:r w:rsidR="001F61D6" w:rsidRPr="00805002">
        <w:rPr>
          <w:rFonts w:cs="Calibri"/>
          <w:highlight w:val="cyan"/>
        </w:rPr>
        <w:t>[#if couple]</w:t>
      </w:r>
      <w:r w:rsidR="001F61D6">
        <w:rPr>
          <w:rFonts w:cs="Calibri"/>
        </w:rPr>
        <w:t xml:space="preserve"> </w:t>
      </w:r>
      <w:r>
        <w:t xml:space="preserve">Our precedent also notes that the 30-day survivorship rule does not apply where the residue passes to the surviving spouse in the first instance. </w:t>
      </w:r>
      <w:r w:rsidRPr="00957046">
        <w:t xml:space="preserve">If you are a member of the TT Precedents Club, you can find </w:t>
      </w:r>
      <w:r>
        <w:t xml:space="preserve">a recording of where we have discussed this </w:t>
      </w:r>
      <w:hyperlink r:id="rId15" w:history="1">
        <w:r w:rsidRPr="000314EE">
          <w:rPr>
            <w:rStyle w:val="Hyperlink"/>
          </w:rPr>
          <w:t>here</w:t>
        </w:r>
      </w:hyperlink>
      <w:r>
        <w:t>.</w:t>
      </w:r>
    </w:p>
  </w:footnote>
  <w:footnote w:id="17">
    <w:p w14:paraId="448DBC2D" w14:textId="2AB1F220" w:rsidR="008B1D6A" w:rsidRPr="00957046" w:rsidRDefault="008B1D6A">
      <w:pPr>
        <w:pStyle w:val="FootnoteText"/>
      </w:pPr>
      <w:r w:rsidRPr="00957046">
        <w:rPr>
          <w:rStyle w:val="FootnoteReference"/>
        </w:rPr>
        <w:footnoteRef/>
      </w:r>
      <w:r w:rsidRPr="00957046">
        <w:t xml:space="preserve"> Our precedents have two different ‘failure of gift’ clauses: one for where there are only two gifts and one for if there are more than two gifts (the second of which states that the gift that fails is allocated proportionately). </w:t>
      </w:r>
    </w:p>
  </w:footnote>
  <w:footnote w:id="18">
    <w:p w14:paraId="43F326C5" w14:textId="0627C815" w:rsidR="000B5087" w:rsidRPr="00290724" w:rsidRDefault="000B5087">
      <w:pPr>
        <w:pStyle w:val="FootnoteText"/>
        <w:rPr>
          <w:i/>
          <w:iCs/>
          <w:lang w:val="en-US"/>
        </w:rPr>
      </w:pPr>
      <w:r>
        <w:rPr>
          <w:rStyle w:val="FootnoteReference"/>
        </w:rPr>
        <w:footnoteRef/>
      </w:r>
      <w:r>
        <w:t xml:space="preserve"> </w:t>
      </w:r>
      <w:r w:rsidR="00D10500">
        <w:t xml:space="preserve">Our default capital clause states that if no beneficiaries are alive at the relevant time, then those persons listed to receive the residuary estate are deemed to be beneficiaries. </w:t>
      </w:r>
    </w:p>
  </w:footnote>
  <w:footnote w:id="19">
    <w:p w14:paraId="05CE0765" w14:textId="6E5F2125" w:rsidR="008B1D6A" w:rsidRPr="00957046" w:rsidRDefault="008B1D6A">
      <w:pPr>
        <w:pStyle w:val="FootnoteText"/>
      </w:pPr>
      <w:r w:rsidRPr="00957046">
        <w:rPr>
          <w:rStyle w:val="FootnoteReference"/>
        </w:rPr>
        <w:footnoteRef/>
      </w:r>
      <w:r w:rsidRPr="00957046">
        <w:t xml:space="preserve"> This is the power that allows the executor, with the consent of a specific beneficiary (or class of beneficiaries, depending on your drafting), to not use a TT and instead distribute direct to beneficiaries. See our training on this </w:t>
      </w:r>
      <w:hyperlink r:id="rId16" w:history="1">
        <w:r w:rsidRPr="00957046">
          <w:rPr>
            <w:rStyle w:val="Hyperlink"/>
          </w:rPr>
          <w:t>here</w:t>
        </w:r>
      </w:hyperlink>
      <w:r w:rsidRPr="00957046">
        <w:t xml:space="preserve">. </w:t>
      </w:r>
    </w:p>
  </w:footnote>
  <w:footnote w:id="20">
    <w:p w14:paraId="5523DA2E" w14:textId="0066087D" w:rsidR="008B1D6A" w:rsidRPr="00957046" w:rsidRDefault="008B1D6A">
      <w:pPr>
        <w:pStyle w:val="FootnoteText"/>
      </w:pPr>
      <w:r w:rsidRPr="00957046">
        <w:rPr>
          <w:rStyle w:val="FootnoteReference"/>
        </w:rPr>
        <w:footnoteRef/>
      </w:r>
      <w:r w:rsidRPr="00957046">
        <w:t xml:space="preserve"> See our training on </w:t>
      </w:r>
      <w:r>
        <w:t xml:space="preserve">the ways to incorporate a special disability trust into our precedents </w:t>
      </w:r>
      <w:hyperlink r:id="rId17" w:history="1">
        <w:r w:rsidRPr="002D6C83">
          <w:rPr>
            <w:rStyle w:val="Hyperlink"/>
          </w:rPr>
          <w:t>here</w:t>
        </w:r>
      </w:hyperlink>
      <w:r>
        <w:t xml:space="preserve">. </w:t>
      </w:r>
    </w:p>
  </w:footnote>
  <w:footnote w:id="21">
    <w:p w14:paraId="2FA31D94" w14:textId="14D47E63" w:rsidR="008B1D6A" w:rsidRPr="00957046" w:rsidRDefault="008B1D6A">
      <w:pPr>
        <w:pStyle w:val="FootnoteText"/>
      </w:pPr>
      <w:r w:rsidRPr="00957046">
        <w:rPr>
          <w:rStyle w:val="FootnoteReference"/>
        </w:rPr>
        <w:footnoteRef/>
      </w:r>
      <w:r w:rsidRPr="00957046">
        <w:t xml:space="preserve"> See an explanation of our boilerplate clauses </w:t>
      </w:r>
      <w:hyperlink r:id="rId18" w:history="1">
        <w:r w:rsidRPr="00957046">
          <w:rPr>
            <w:rStyle w:val="Hyperlink"/>
          </w:rPr>
          <w:t>here</w:t>
        </w:r>
      </w:hyperlink>
      <w:r w:rsidRPr="00957046">
        <w:t xml:space="preserve">. </w:t>
      </w:r>
    </w:p>
  </w:footnote>
  <w:footnote w:id="22">
    <w:p w14:paraId="09A07AC9" w14:textId="4B18CBA6" w:rsidR="008B1D6A" w:rsidRPr="00957046" w:rsidRDefault="008B1D6A">
      <w:pPr>
        <w:pStyle w:val="FootnoteText"/>
      </w:pPr>
      <w:r w:rsidRPr="00957046">
        <w:rPr>
          <w:rStyle w:val="FootnoteReference"/>
        </w:rPr>
        <w:footnoteRef/>
      </w:r>
      <w:r w:rsidRPr="00957046">
        <w:t xml:space="preserve"> If you are a member of the TT Precedents Club, you can find recordings of where we have discussed amending this </w:t>
      </w:r>
      <w:r>
        <w:t>b</w:t>
      </w:r>
      <w:r w:rsidRPr="00957046">
        <w:t>y searching ‘child’ in the portal</w:t>
      </w:r>
      <w:r>
        <w:t>.</w:t>
      </w:r>
    </w:p>
  </w:footnote>
  <w:footnote w:id="23">
    <w:p w14:paraId="058557E9" w14:textId="021FF956" w:rsidR="008B1D6A" w:rsidRPr="00957046" w:rsidRDefault="008B1D6A">
      <w:pPr>
        <w:pStyle w:val="FootnoteText"/>
      </w:pPr>
      <w:r w:rsidRPr="00957046">
        <w:rPr>
          <w:rStyle w:val="FootnoteReference"/>
        </w:rPr>
        <w:footnoteRef/>
      </w:r>
      <w:r w:rsidRPr="00957046">
        <w:t xml:space="preserve"> See our training on the family law breakdown trigger </w:t>
      </w:r>
      <w:hyperlink r:id="rId19" w:history="1">
        <w:r w:rsidRPr="00990511">
          <w:rPr>
            <w:rStyle w:val="Hyperlink"/>
          </w:rPr>
          <w:t>here</w:t>
        </w:r>
      </w:hyperlink>
      <w:r>
        <w:t>.</w:t>
      </w:r>
    </w:p>
  </w:footnote>
  <w:footnote w:id="24">
    <w:p w14:paraId="147DD130" w14:textId="684843E5" w:rsidR="008B1D6A" w:rsidRPr="00F42A29" w:rsidRDefault="008B1D6A">
      <w:pPr>
        <w:pStyle w:val="FootnoteText"/>
        <w:rPr>
          <w:lang w:val="en-US"/>
        </w:rPr>
      </w:pPr>
      <w:r>
        <w:rPr>
          <w:rStyle w:val="FootnoteReference"/>
        </w:rPr>
        <w:footnoteRef/>
      </w:r>
      <w:r>
        <w:t xml:space="preserve"> </w:t>
      </w:r>
      <w:r>
        <w:rPr>
          <w:lang w:val="en-US"/>
        </w:rPr>
        <w:t xml:space="preserve">See our training on this definition </w:t>
      </w:r>
      <w:hyperlink r:id="rId20" w:history="1">
        <w:r w:rsidRPr="00F42A29">
          <w:rPr>
            <w:rStyle w:val="Hyperlink"/>
            <w:lang w:val="en-US"/>
          </w:rPr>
          <w:t>here</w:t>
        </w:r>
      </w:hyperlink>
      <w:r>
        <w:rPr>
          <w:lang w:val="en-US"/>
        </w:rPr>
        <w:t xml:space="preserve">. </w:t>
      </w:r>
    </w:p>
  </w:footnote>
  <w:footnote w:id="25">
    <w:p w14:paraId="68DBF579" w14:textId="7FAE9E2C" w:rsidR="008B1D6A" w:rsidRPr="00957046" w:rsidRDefault="008B1D6A">
      <w:pPr>
        <w:pStyle w:val="FootnoteText"/>
      </w:pPr>
      <w:r w:rsidRPr="00957046">
        <w:rPr>
          <w:rStyle w:val="FootnoteReference"/>
        </w:rPr>
        <w:footnoteRef/>
      </w:r>
      <w:r w:rsidRPr="00957046">
        <w:t xml:space="preserve"> See our explanation of our beneficiary categories </w:t>
      </w:r>
      <w:hyperlink r:id="rId21" w:history="1">
        <w:r w:rsidRPr="00957046">
          <w:rPr>
            <w:rStyle w:val="Hyperlink"/>
          </w:rPr>
          <w:t>here</w:t>
        </w:r>
      </w:hyperlink>
      <w:r w:rsidRPr="00957046">
        <w:t xml:space="preserve">. </w:t>
      </w:r>
    </w:p>
  </w:footnote>
  <w:footnote w:id="26">
    <w:p w14:paraId="2BA439DB" w14:textId="7ADE5687" w:rsidR="008B1D6A" w:rsidRPr="00957046" w:rsidRDefault="008B1D6A">
      <w:pPr>
        <w:pStyle w:val="FootnoteText"/>
      </w:pPr>
      <w:r w:rsidRPr="00957046">
        <w:rPr>
          <w:rStyle w:val="FootnoteReference"/>
        </w:rPr>
        <w:footnoteRef/>
      </w:r>
      <w:r w:rsidRPr="00957046">
        <w:t xml:space="preserve"> For example, do they have a high value boat or valuable digital assets that warrant these falling into the residuary estate and not included in this definition?</w:t>
      </w:r>
    </w:p>
  </w:footnote>
  <w:footnote w:id="27">
    <w:p w14:paraId="7ADD642D" w14:textId="7991FE6E" w:rsidR="008B1D6A" w:rsidRPr="00957046" w:rsidRDefault="008B1D6A">
      <w:pPr>
        <w:pStyle w:val="FootnoteText"/>
      </w:pPr>
      <w:r w:rsidRPr="00957046">
        <w:rPr>
          <w:rStyle w:val="FootnoteReference"/>
        </w:rPr>
        <w:footnoteRef/>
      </w:r>
      <w:r w:rsidRPr="00957046">
        <w:t xml:space="preserve"> When using the FPE TT precedent, this trust should be listed there, as well as any TT(s) and our standard special disability trust inclusion.</w:t>
      </w:r>
    </w:p>
  </w:footnote>
  <w:footnote w:id="28">
    <w:p w14:paraId="68C228FE" w14:textId="43E42CA7" w:rsidR="008B1D6A" w:rsidRPr="00957046" w:rsidRDefault="008B1D6A">
      <w:pPr>
        <w:pStyle w:val="FootnoteText"/>
      </w:pPr>
      <w:r w:rsidRPr="00957046">
        <w:rPr>
          <w:rStyle w:val="FootnoteReference"/>
        </w:rPr>
        <w:footnoteRef/>
      </w:r>
      <w:r w:rsidRPr="00957046">
        <w:t xml:space="preserve"> </w:t>
      </w:r>
      <w:proofErr w:type="gramStart"/>
      <w:r w:rsidRPr="00957046">
        <w:t>In order to</w:t>
      </w:r>
      <w:proofErr w:type="gramEnd"/>
      <w:r w:rsidRPr="00957046">
        <w:t xml:space="preserve"> obtain the change of trustee exemption for duty in NSW, the incoming trustee must be excluded as being a beneficiary of the TT. </w:t>
      </w:r>
      <w:r>
        <w:t>See section 54 of the Duties Act 1997 (NSW).</w:t>
      </w:r>
      <w:r w:rsidRPr="00957046">
        <w:t xml:space="preserve"> For tax reasons, </w:t>
      </w:r>
      <w:proofErr w:type="gramStart"/>
      <w:r w:rsidRPr="00957046">
        <w:t>at all times</w:t>
      </w:r>
      <w:proofErr w:type="gramEnd"/>
      <w:r w:rsidRPr="00957046">
        <w:t xml:space="preserve">, at least one person acting as trustee should be an Australian resident for tax purposes. </w:t>
      </w:r>
      <w:r>
        <w:t xml:space="preserve">See section 95(2) of the Income Tax Assessment Act 1936 and section 995-1 Income Tax Assessment Act 1997. </w:t>
      </w:r>
    </w:p>
  </w:footnote>
  <w:footnote w:id="29">
    <w:p w14:paraId="3D8D8856" w14:textId="4BFB571E" w:rsidR="008B1D6A" w:rsidRPr="009A0DAD" w:rsidRDefault="008B1D6A">
      <w:pPr>
        <w:pStyle w:val="FootnoteText"/>
        <w:rPr>
          <w:lang w:val="en-US"/>
        </w:rPr>
      </w:pPr>
      <w:r>
        <w:rPr>
          <w:rStyle w:val="FootnoteReference"/>
        </w:rPr>
        <w:footnoteRef/>
      </w:r>
      <w:r>
        <w:t xml:space="preserve"> </w:t>
      </w:r>
      <w:r>
        <w:rPr>
          <w:lang w:val="en-US"/>
        </w:rPr>
        <w:t xml:space="preserve">See our training on this </w:t>
      </w:r>
      <w:hyperlink r:id="rId22" w:history="1">
        <w:r w:rsidRPr="00683674">
          <w:rPr>
            <w:rStyle w:val="Hyperlink"/>
            <w:lang w:val="en-US"/>
          </w:rPr>
          <w:t>here</w:t>
        </w:r>
      </w:hyperlink>
      <w:r>
        <w:rPr>
          <w:lang w:val="en-US"/>
        </w:rPr>
        <w:t>.</w:t>
      </w:r>
    </w:p>
  </w:footnote>
  <w:footnote w:id="30">
    <w:p w14:paraId="5CABE500" w14:textId="685E8FA8" w:rsidR="008B1D6A" w:rsidRPr="00FE498A" w:rsidRDefault="008B1D6A">
      <w:pPr>
        <w:pStyle w:val="FootnoteText"/>
        <w:rPr>
          <w:lang w:val="en-US"/>
        </w:rPr>
      </w:pPr>
      <w:r>
        <w:rPr>
          <w:rStyle w:val="FootnoteReference"/>
        </w:rPr>
        <w:footnoteRef/>
      </w:r>
      <w:r>
        <w:t xml:space="preserve"> </w:t>
      </w:r>
      <w:r w:rsidRPr="00957046">
        <w:t xml:space="preserve">If you are a member of the TT Precedents Club, you can find </w:t>
      </w:r>
      <w:r>
        <w:t xml:space="preserve">a recording of where we have discussed this </w:t>
      </w:r>
      <w:hyperlink r:id="rId23" w:history="1">
        <w:r w:rsidRPr="00D12B70">
          <w:rPr>
            <w:rStyle w:val="Hyperlink"/>
          </w:rPr>
          <w:t>here</w:t>
        </w:r>
      </w:hyperlink>
      <w:r>
        <w:t>.</w:t>
      </w:r>
      <w:r w:rsidRPr="00683674">
        <w:t xml:space="preserve"> </w:t>
      </w:r>
      <w:r>
        <w:t xml:space="preserve">Where there is a sole trustee, users should consider whether that is appropriate.  See our training on this </w:t>
      </w:r>
      <w:hyperlink r:id="rId24" w:history="1">
        <w:r w:rsidRPr="00AE6948">
          <w:rPr>
            <w:rStyle w:val="Hyperlink"/>
            <w:rFonts w:ascii="Segoe UI" w:hAnsi="Segoe UI" w:cs="Segoe UI"/>
            <w:sz w:val="18"/>
            <w:szCs w:val="18"/>
          </w:rPr>
          <w:t>here</w:t>
        </w:r>
      </w:hyperlink>
      <w:r>
        <w:t>.</w:t>
      </w:r>
    </w:p>
  </w:footnote>
  <w:footnote w:id="31">
    <w:p w14:paraId="632BE0BE" w14:textId="3C1CEDD4" w:rsidR="008B1D6A" w:rsidRPr="00957046" w:rsidRDefault="008B1D6A">
      <w:pPr>
        <w:pStyle w:val="FootnoteText"/>
      </w:pPr>
      <w:r w:rsidRPr="00957046">
        <w:rPr>
          <w:rStyle w:val="FootnoteReference"/>
        </w:rPr>
        <w:footnoteRef/>
      </w:r>
      <w:r w:rsidRPr="00957046">
        <w:t xml:space="preserve"> It is necessary in NSW to limit the variation power to ensure that foreign persons cannot benefit i.e. the exclusion must be irrevocable. See Revenue NSW’s Guidance Note CPN 004</w:t>
      </w:r>
      <w:r>
        <w:t xml:space="preserve"> and our training on this </w:t>
      </w:r>
      <w:hyperlink r:id="rId25" w:history="1">
        <w:r w:rsidRPr="00AE7B41">
          <w:rPr>
            <w:rStyle w:val="Hyperlink"/>
          </w:rPr>
          <w:t>here</w:t>
        </w:r>
      </w:hyperlink>
      <w:r>
        <w:t xml:space="preserve">. </w:t>
      </w:r>
    </w:p>
  </w:footnote>
  <w:footnote w:id="32">
    <w:p w14:paraId="4F937631" w14:textId="18A9E9D9" w:rsidR="008B1D6A" w:rsidRPr="009A0DAD" w:rsidRDefault="008B1D6A">
      <w:pPr>
        <w:pStyle w:val="FootnoteText"/>
        <w:rPr>
          <w:lang w:val="en-US"/>
        </w:rPr>
      </w:pPr>
      <w:r>
        <w:rPr>
          <w:rStyle w:val="FootnoteReference"/>
        </w:rPr>
        <w:footnoteRef/>
      </w:r>
      <w:r>
        <w:t xml:space="preserve"> </w:t>
      </w:r>
      <w:r>
        <w:rPr>
          <w:lang w:val="en-US"/>
        </w:rPr>
        <w:t xml:space="preserve">See our training on this </w:t>
      </w:r>
      <w:hyperlink r:id="rId26" w:history="1">
        <w:r w:rsidRPr="00AE6948">
          <w:rPr>
            <w:rStyle w:val="Hyperlink"/>
            <w:lang w:val="en-US"/>
          </w:rPr>
          <w:t>here</w:t>
        </w:r>
      </w:hyperlink>
      <w:r>
        <w:rPr>
          <w:lang w:val="en-US"/>
        </w:rPr>
        <w:t xml:space="preserve">. </w:t>
      </w:r>
    </w:p>
  </w:footnote>
  <w:footnote w:id="33">
    <w:p w14:paraId="54FB15BC" w14:textId="1A20E046" w:rsidR="008B1D6A" w:rsidRPr="00957046" w:rsidRDefault="008B1D6A">
      <w:pPr>
        <w:pStyle w:val="FootnoteText"/>
      </w:pPr>
      <w:r w:rsidRPr="00957046">
        <w:rPr>
          <w:rStyle w:val="FootnoteReference"/>
        </w:rPr>
        <w:footnoteRef/>
      </w:r>
      <w:r w:rsidRPr="00957046">
        <w:t xml:space="preserve"> The template is designed so that clients draft these themselves, but sometimes it is helpful to include specific items – it’s a judgement call here. If the wishes are important to the client but they have accepted our advice not to hardwire it into the will, it can be useful to put their comments into the LOW to show we have listened to them.</w:t>
      </w:r>
    </w:p>
  </w:footnote>
  <w:footnote w:id="34">
    <w:p w14:paraId="7E4FB191" w14:textId="32CA417A" w:rsidR="008B1D6A" w:rsidRPr="009A0DAD" w:rsidRDefault="008B1D6A">
      <w:pPr>
        <w:pStyle w:val="FootnoteText"/>
        <w:rPr>
          <w:lang w:val="en-US"/>
        </w:rPr>
      </w:pPr>
      <w:r>
        <w:rPr>
          <w:rStyle w:val="FootnoteReference"/>
        </w:rPr>
        <w:footnoteRef/>
      </w:r>
      <w:r>
        <w:t xml:space="preserve"> </w:t>
      </w:r>
      <w:r>
        <w:rPr>
          <w:lang w:val="en-US"/>
        </w:rPr>
        <w:t xml:space="preserve">You can purchase a more detailed letter of wishes precedent from us </w:t>
      </w:r>
      <w:hyperlink r:id="rId27" w:history="1">
        <w:r w:rsidRPr="002109C4">
          <w:rPr>
            <w:rStyle w:val="Hyperlink"/>
            <w:lang w:val="en-US"/>
          </w:rPr>
          <w:t>here</w:t>
        </w:r>
      </w:hyperlink>
      <w:r>
        <w:rPr>
          <w:lang w:val="en-US"/>
        </w:rPr>
        <w:t>.</w:t>
      </w:r>
    </w:p>
  </w:footnote>
  <w:footnote w:id="35">
    <w:p w14:paraId="397C3E20" w14:textId="095CA357" w:rsidR="008B1D6A" w:rsidRPr="00957046" w:rsidRDefault="008B1D6A">
      <w:pPr>
        <w:pStyle w:val="FootnoteText"/>
      </w:pPr>
      <w:r w:rsidRPr="00957046">
        <w:rPr>
          <w:rStyle w:val="FootnoteReference"/>
        </w:rPr>
        <w:footnoteRef/>
      </w:r>
      <w:r w:rsidRPr="00957046">
        <w:t xml:space="preserve"> For example, in Qld, burial instructions, regardless of their location, are non-binding, but cremation instructions, are binding </w:t>
      </w:r>
      <w:proofErr w:type="gramStart"/>
      <w:r w:rsidRPr="00957046">
        <w:t>as long as</w:t>
      </w:r>
      <w:proofErr w:type="gramEnd"/>
      <w:r w:rsidRPr="00957046">
        <w:t xml:space="preserve"> they are in writing and signed by the testator. </w:t>
      </w:r>
    </w:p>
  </w:footnote>
  <w:footnote w:id="36">
    <w:p w14:paraId="41B0751C" w14:textId="26A6D27C" w:rsidR="008B1D6A" w:rsidRPr="00957046" w:rsidRDefault="008B1D6A">
      <w:pPr>
        <w:pStyle w:val="FootnoteText"/>
      </w:pPr>
      <w:r w:rsidRPr="00957046">
        <w:rPr>
          <w:rStyle w:val="FootnoteReference"/>
        </w:rPr>
        <w:footnoteRef/>
      </w:r>
      <w:r w:rsidRPr="00957046">
        <w:t xml:space="preserve"> There are general powers of attorney (that cease on the loss of capacity of the person that made it – the principal). Most states have very different forms for enduring powers of attorney (that continue even after the principal loses capacity). </w:t>
      </w:r>
    </w:p>
  </w:footnote>
  <w:footnote w:id="37">
    <w:p w14:paraId="4595F3C3" w14:textId="16404DAB" w:rsidR="008B1D6A" w:rsidRPr="00957046" w:rsidRDefault="008B1D6A">
      <w:pPr>
        <w:pStyle w:val="FootnoteText"/>
      </w:pPr>
      <w:r w:rsidRPr="00957046">
        <w:rPr>
          <w:rStyle w:val="FootnoteReference"/>
        </w:rPr>
        <w:footnoteRef/>
      </w:r>
      <w:r w:rsidRPr="00957046">
        <w:t xml:space="preserve"> We also recommend reviewing the legislation in the relevant State to confirm if the Government form is the most efficient form. For example, in Victoria, the form provided by the Office of the Public Guardian is quite long and nothing like the prescribed form in the relevant Act. </w:t>
      </w:r>
    </w:p>
  </w:footnote>
  <w:footnote w:id="38">
    <w:p w14:paraId="2750C796" w14:textId="416E57A3" w:rsidR="008B1D6A" w:rsidRPr="00957046" w:rsidRDefault="008B1D6A">
      <w:pPr>
        <w:pStyle w:val="FootnoteText"/>
      </w:pPr>
      <w:r w:rsidRPr="00957046">
        <w:rPr>
          <w:rStyle w:val="FootnoteReference"/>
        </w:rPr>
        <w:footnoteRef/>
      </w:r>
      <w:r w:rsidRPr="00957046">
        <w:t xml:space="preserve"> Some States have ‘long form’ versions (that allow you to separate between financial and medical/personal matters) and ‘short form’ versions (that allow you to appoint the same people for all matters).</w:t>
      </w:r>
    </w:p>
  </w:footnote>
  <w:footnote w:id="39">
    <w:p w14:paraId="53464452" w14:textId="380D5480" w:rsidR="008B1D6A" w:rsidRPr="009A0DAD" w:rsidRDefault="008B1D6A">
      <w:pPr>
        <w:pStyle w:val="FootnoteText"/>
        <w:rPr>
          <w:lang w:val="en-US"/>
        </w:rPr>
      </w:pPr>
      <w:r>
        <w:rPr>
          <w:rStyle w:val="FootnoteReference"/>
        </w:rPr>
        <w:footnoteRef/>
      </w:r>
      <w:r>
        <w:t xml:space="preserve"> See the Meeting Agenda template for a list of considerations when determining who to appoint as an attorney.</w:t>
      </w:r>
    </w:p>
  </w:footnote>
  <w:footnote w:id="40">
    <w:p w14:paraId="31A5EAB3" w14:textId="4DE1F304" w:rsidR="008B1D6A" w:rsidRPr="00957046" w:rsidRDefault="008B1D6A">
      <w:pPr>
        <w:pStyle w:val="FootnoteText"/>
      </w:pPr>
      <w:r w:rsidRPr="00957046">
        <w:rPr>
          <w:rStyle w:val="FootnoteReference"/>
        </w:rPr>
        <w:footnoteRef/>
      </w:r>
      <w:r w:rsidRPr="00957046">
        <w:t xml:space="preserve"> </w:t>
      </w:r>
      <w:r w:rsidR="001F61D6" w:rsidRPr="00805002">
        <w:rPr>
          <w:rFonts w:cs="Calibri"/>
          <w:highlight w:val="cyan"/>
        </w:rPr>
        <w:t>[#if couple]</w:t>
      </w:r>
      <w:r w:rsidR="001F61D6">
        <w:rPr>
          <w:rFonts w:cs="Calibri"/>
        </w:rPr>
        <w:t xml:space="preserve"> </w:t>
      </w:r>
      <w:r w:rsidRPr="00957046">
        <w:t>Sometimes the client might only want their spouse to have some of the additional powers we include as standard – most common example is making/updating superannuation nominations. Other situations that may mean some powers need to be amended or removed include blended families or where not all children are acting in financial matters.</w:t>
      </w:r>
      <w:r>
        <w:t xml:space="preserve"> We do not recommend including additional powers in the financial enduring power of attorney in Western Australia unless specific advice is obtained, as it may not be accepted for registration by Landgate.</w:t>
      </w:r>
    </w:p>
  </w:footnote>
  <w:footnote w:id="41">
    <w:p w14:paraId="2756484C" w14:textId="2158BA35" w:rsidR="008B1D6A" w:rsidRPr="00957046" w:rsidRDefault="008B1D6A">
      <w:pPr>
        <w:pStyle w:val="FootnoteText"/>
      </w:pPr>
      <w:r w:rsidRPr="00957046">
        <w:rPr>
          <w:rStyle w:val="FootnoteReference"/>
        </w:rPr>
        <w:footnoteRef/>
      </w:r>
      <w:r w:rsidRPr="00957046">
        <w:t xml:space="preserve"> </w:t>
      </w:r>
      <w:r>
        <w:t xml:space="preserve">See our training on this </w:t>
      </w:r>
      <w:hyperlink r:id="rId28" w:history="1">
        <w:r w:rsidRPr="004970A8">
          <w:rPr>
            <w:rStyle w:val="Hyperlink"/>
          </w:rPr>
          <w:t>here</w:t>
        </w:r>
      </w:hyperlink>
      <w:r>
        <w:t>.</w:t>
      </w:r>
    </w:p>
  </w:footnote>
  <w:footnote w:id="42">
    <w:p w14:paraId="4DF5CB9B" w14:textId="60D0AA3B" w:rsidR="008B1D6A" w:rsidRPr="00957046" w:rsidRDefault="008B1D6A" w:rsidP="00846EEF">
      <w:pPr>
        <w:pStyle w:val="FootnoteText"/>
        <w:tabs>
          <w:tab w:val="left" w:pos="1880"/>
        </w:tabs>
      </w:pPr>
      <w:r w:rsidRPr="00957046">
        <w:rPr>
          <w:rStyle w:val="FootnoteReference"/>
        </w:rPr>
        <w:footnoteRef/>
      </w:r>
      <w:r w:rsidRPr="00957046">
        <w:t xml:space="preserve"> The conservative position is that a client should have a financial power of attorney for each State that they own real property in, given the complexity in dealing with local land registries. If preparing additional financial power of attorney, insert ‘conflict’ clauses that </w:t>
      </w:r>
      <w:proofErr w:type="spellStart"/>
      <w:r w:rsidRPr="00957046">
        <w:t>recgonise</w:t>
      </w:r>
      <w:proofErr w:type="spellEnd"/>
      <w:r w:rsidRPr="00957046">
        <w:t xml:space="preserve"> the existence of the other documents, so as not to inadvertently revoke the other. You can find our suggested drafting for this in </w:t>
      </w:r>
      <w:r>
        <w:t xml:space="preserve">the clause library available to members of the TT Precedents Club. </w:t>
      </w:r>
    </w:p>
  </w:footnote>
  <w:footnote w:id="43">
    <w:p w14:paraId="31C566C4" w14:textId="52138113" w:rsidR="008B1D6A" w:rsidRPr="00BE48DC" w:rsidRDefault="008B1D6A">
      <w:pPr>
        <w:pStyle w:val="FootnoteText"/>
        <w:rPr>
          <w:lang w:val="en-US"/>
        </w:rPr>
      </w:pPr>
      <w:r>
        <w:rPr>
          <w:rStyle w:val="FootnoteReference"/>
        </w:rPr>
        <w:footnoteRef/>
      </w:r>
      <w:r>
        <w:t xml:space="preserve"> </w:t>
      </w:r>
      <w:r>
        <w:rPr>
          <w:lang w:val="en-US"/>
        </w:rPr>
        <w:t xml:space="preserve">Some States require a separate revocation form to be prepared while others are automatically revoked by making a new document. Some States also require you to notify previous attorneys that their appointment has been revoked. </w:t>
      </w:r>
    </w:p>
  </w:footnote>
  <w:footnote w:id="44">
    <w:p w14:paraId="31D95CF6" w14:textId="71C80A9E" w:rsidR="008B1D6A" w:rsidRPr="00957046" w:rsidRDefault="008B1D6A">
      <w:pPr>
        <w:pStyle w:val="FootnoteText"/>
      </w:pPr>
      <w:r w:rsidRPr="00957046">
        <w:rPr>
          <w:rStyle w:val="FootnoteReference"/>
        </w:rPr>
        <w:footnoteRef/>
      </w:r>
      <w:r w:rsidRPr="00957046">
        <w:t xml:space="preserve"> See our Facebook Live on whether</w:t>
      </w:r>
      <w:r>
        <w:t xml:space="preserve"> a statutory declaration is likely to be an effective strategy </w:t>
      </w:r>
      <w:hyperlink r:id="rId29" w:history="1">
        <w:r w:rsidRPr="00333936">
          <w:rPr>
            <w:rStyle w:val="Hyperlink"/>
          </w:rPr>
          <w:t>here</w:t>
        </w:r>
      </w:hyperlink>
      <w:r>
        <w:t>.</w:t>
      </w:r>
    </w:p>
  </w:footnote>
  <w:footnote w:id="45">
    <w:p w14:paraId="755C6797" w14:textId="2BCFEFD2" w:rsidR="008B1D6A" w:rsidRPr="00957046" w:rsidRDefault="008B1D6A" w:rsidP="00E71D57">
      <w:pPr>
        <w:pStyle w:val="FootnoteText"/>
      </w:pPr>
      <w:r w:rsidRPr="00957046">
        <w:rPr>
          <w:rStyle w:val="FootnoteReference"/>
        </w:rPr>
        <w:footnoteRef/>
      </w:r>
      <w:r w:rsidRPr="00957046">
        <w:t xml:space="preserve"> See s49A Wills Act (Vic) and s65B Administration and Probate Act (Vic).</w:t>
      </w:r>
      <w:r w:rsidR="00725558">
        <w:t xml:space="preserve"> Our </w:t>
      </w:r>
      <w:hyperlink r:id="rId30" w:history="1">
        <w:r w:rsidR="00725558" w:rsidRPr="00442147">
          <w:rPr>
            <w:rStyle w:val="Hyperlink"/>
          </w:rPr>
          <w:t>Estate Planning Pricing Toolkit</w:t>
        </w:r>
      </w:hyperlink>
      <w:r w:rsidR="00725558">
        <w:t xml:space="preserve"> </w:t>
      </w:r>
      <w:r w:rsidR="005A52B3">
        <w:t xml:space="preserve">includes a template to use. </w:t>
      </w:r>
    </w:p>
  </w:footnote>
  <w:footnote w:id="46">
    <w:p w14:paraId="1E20D528" w14:textId="77777777" w:rsidR="008B1D6A" w:rsidRPr="000019AB" w:rsidRDefault="008B1D6A" w:rsidP="00E94350">
      <w:pPr>
        <w:pStyle w:val="FootnoteText"/>
        <w:rPr>
          <w:lang w:val="en-US"/>
        </w:rPr>
      </w:pPr>
      <w:r>
        <w:rPr>
          <w:rStyle w:val="FootnoteReference"/>
        </w:rPr>
        <w:footnoteRef/>
      </w:r>
      <w:r>
        <w:t xml:space="preserve"> Our precedent packs for </w:t>
      </w:r>
      <w:r>
        <w:rPr>
          <w:lang w:val="en-US"/>
        </w:rPr>
        <w:t xml:space="preserve">‘The Works’ and ‘Cover All Bases’ packages include a checklist for mirroring documents.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6F84"/>
    <w:multiLevelType w:val="hybridMultilevel"/>
    <w:tmpl w:val="69FEAD82"/>
    <w:lvl w:ilvl="0" w:tplc="DFE01832">
      <w:start w:val="1"/>
      <w:numFmt w:val="lowerLetter"/>
      <w:pStyle w:val="TableListLevel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174A9"/>
    <w:multiLevelType w:val="hybridMultilevel"/>
    <w:tmpl w:val="41C20514"/>
    <w:lvl w:ilvl="0" w:tplc="48E83B26">
      <w:start w:val="1"/>
      <w:numFmt w:val="decimal"/>
      <w:pStyle w:val="TableHeadingNumberingLevel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0692A"/>
    <w:multiLevelType w:val="multilevel"/>
    <w:tmpl w:val="68142484"/>
    <w:lvl w:ilvl="0">
      <w:start w:val="1"/>
      <w:numFmt w:val="decimal"/>
      <w:pStyle w:val="TableListLevel1"/>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26659292">
    <w:abstractNumId w:val="2"/>
  </w:num>
  <w:num w:numId="2" w16cid:durableId="1394430404">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 w16cid:durableId="1330058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3475157">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16cid:durableId="1012217348">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16cid:durableId="628585649">
    <w:abstractNumId w:val="0"/>
    <w:lvlOverride w:ilvl="0">
      <w:startOverride w:val="1"/>
      <w:lvl w:ilvl="0" w:tplc="DFE01832">
        <w:start w:val="1"/>
        <w:numFmt w:val="lowerLetter"/>
        <w:pStyle w:val="TableListLevel2"/>
        <w:lvlText w:val="(%1)"/>
        <w:lvlJc w:val="left"/>
        <w:pPr>
          <w:ind w:left="1080" w:hanging="360"/>
        </w:pPr>
        <w:rPr>
          <w:rFonts w:hint="default"/>
        </w:rPr>
      </w:lvl>
    </w:lvlOverride>
  </w:num>
  <w:num w:numId="7" w16cid:durableId="142726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383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4593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1646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9809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052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2071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1585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2272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6546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4477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9106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7586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8246233">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1" w16cid:durableId="583805447">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2" w16cid:durableId="634799561">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3" w16cid:durableId="1671105069">
    <w:abstractNumId w:val="2"/>
  </w:num>
  <w:num w:numId="24" w16cid:durableId="1433235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9315365">
    <w:abstractNumId w:val="2"/>
  </w:num>
  <w:num w:numId="26" w16cid:durableId="749078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95"/>
    <w:rsid w:val="00000B9F"/>
    <w:rsid w:val="000019AB"/>
    <w:rsid w:val="0000727C"/>
    <w:rsid w:val="00021FE1"/>
    <w:rsid w:val="0002625F"/>
    <w:rsid w:val="000314EE"/>
    <w:rsid w:val="00042A09"/>
    <w:rsid w:val="00060098"/>
    <w:rsid w:val="000622A0"/>
    <w:rsid w:val="000711E0"/>
    <w:rsid w:val="00071F99"/>
    <w:rsid w:val="00084E64"/>
    <w:rsid w:val="000918C1"/>
    <w:rsid w:val="00093F85"/>
    <w:rsid w:val="000A0B4F"/>
    <w:rsid w:val="000A2D23"/>
    <w:rsid w:val="000A694B"/>
    <w:rsid w:val="000B5087"/>
    <w:rsid w:val="000C1E5A"/>
    <w:rsid w:val="000C6A4D"/>
    <w:rsid w:val="000D0210"/>
    <w:rsid w:val="000D557E"/>
    <w:rsid w:val="000D5DA6"/>
    <w:rsid w:val="000E0AF8"/>
    <w:rsid w:val="000E14B1"/>
    <w:rsid w:val="000E5281"/>
    <w:rsid w:val="000E7BE0"/>
    <w:rsid w:val="000F367B"/>
    <w:rsid w:val="000F5DA0"/>
    <w:rsid w:val="00100E35"/>
    <w:rsid w:val="00101E35"/>
    <w:rsid w:val="00117853"/>
    <w:rsid w:val="001237D1"/>
    <w:rsid w:val="001278B1"/>
    <w:rsid w:val="00131A6E"/>
    <w:rsid w:val="00145A76"/>
    <w:rsid w:val="00154F66"/>
    <w:rsid w:val="001702A8"/>
    <w:rsid w:val="0017517C"/>
    <w:rsid w:val="0017643F"/>
    <w:rsid w:val="001779D7"/>
    <w:rsid w:val="00181A3A"/>
    <w:rsid w:val="0019519B"/>
    <w:rsid w:val="001A2FE9"/>
    <w:rsid w:val="001B000C"/>
    <w:rsid w:val="001B16F0"/>
    <w:rsid w:val="001B6E5E"/>
    <w:rsid w:val="001C0AC9"/>
    <w:rsid w:val="001C4566"/>
    <w:rsid w:val="001D3130"/>
    <w:rsid w:val="001D39DB"/>
    <w:rsid w:val="001D4C36"/>
    <w:rsid w:val="001D551A"/>
    <w:rsid w:val="001E3A38"/>
    <w:rsid w:val="001F1D11"/>
    <w:rsid w:val="001F61D6"/>
    <w:rsid w:val="00201BF3"/>
    <w:rsid w:val="00204974"/>
    <w:rsid w:val="002109C4"/>
    <w:rsid w:val="00212428"/>
    <w:rsid w:val="00213142"/>
    <w:rsid w:val="00215B47"/>
    <w:rsid w:val="00225637"/>
    <w:rsid w:val="0023386B"/>
    <w:rsid w:val="00237107"/>
    <w:rsid w:val="002413BC"/>
    <w:rsid w:val="0026051A"/>
    <w:rsid w:val="002619CD"/>
    <w:rsid w:val="00271A63"/>
    <w:rsid w:val="00272841"/>
    <w:rsid w:val="00273715"/>
    <w:rsid w:val="00280155"/>
    <w:rsid w:val="00281826"/>
    <w:rsid w:val="00282983"/>
    <w:rsid w:val="00283FA6"/>
    <w:rsid w:val="002874C9"/>
    <w:rsid w:val="00290724"/>
    <w:rsid w:val="002919A7"/>
    <w:rsid w:val="002A359B"/>
    <w:rsid w:val="002A54AD"/>
    <w:rsid w:val="002A7F3B"/>
    <w:rsid w:val="002B16D8"/>
    <w:rsid w:val="002B4AF8"/>
    <w:rsid w:val="002D2316"/>
    <w:rsid w:val="002D6C83"/>
    <w:rsid w:val="002E0E57"/>
    <w:rsid w:val="002E3388"/>
    <w:rsid w:val="002E5A0C"/>
    <w:rsid w:val="003004BE"/>
    <w:rsid w:val="0030184B"/>
    <w:rsid w:val="00301E95"/>
    <w:rsid w:val="003038F2"/>
    <w:rsid w:val="0031560E"/>
    <w:rsid w:val="00316DD5"/>
    <w:rsid w:val="0032162E"/>
    <w:rsid w:val="0032303A"/>
    <w:rsid w:val="00323E6E"/>
    <w:rsid w:val="00333936"/>
    <w:rsid w:val="00333B2B"/>
    <w:rsid w:val="00353771"/>
    <w:rsid w:val="00353D39"/>
    <w:rsid w:val="00356C0E"/>
    <w:rsid w:val="0036065B"/>
    <w:rsid w:val="003675F1"/>
    <w:rsid w:val="00370254"/>
    <w:rsid w:val="003737C3"/>
    <w:rsid w:val="00382507"/>
    <w:rsid w:val="00390800"/>
    <w:rsid w:val="00390BC0"/>
    <w:rsid w:val="003918A9"/>
    <w:rsid w:val="00392212"/>
    <w:rsid w:val="00395F0A"/>
    <w:rsid w:val="003A3E5A"/>
    <w:rsid w:val="003B17E8"/>
    <w:rsid w:val="003B1993"/>
    <w:rsid w:val="003B234C"/>
    <w:rsid w:val="003B27A5"/>
    <w:rsid w:val="003B3BC3"/>
    <w:rsid w:val="003B5B6D"/>
    <w:rsid w:val="003C0129"/>
    <w:rsid w:val="003C110E"/>
    <w:rsid w:val="003C4485"/>
    <w:rsid w:val="003D07C8"/>
    <w:rsid w:val="003D28FC"/>
    <w:rsid w:val="003E2337"/>
    <w:rsid w:val="003E264F"/>
    <w:rsid w:val="003F087A"/>
    <w:rsid w:val="004005C6"/>
    <w:rsid w:val="00400F0C"/>
    <w:rsid w:val="00402A87"/>
    <w:rsid w:val="004138C1"/>
    <w:rsid w:val="004148F3"/>
    <w:rsid w:val="0042153D"/>
    <w:rsid w:val="00425B3C"/>
    <w:rsid w:val="00430AC8"/>
    <w:rsid w:val="004325FA"/>
    <w:rsid w:val="004327DF"/>
    <w:rsid w:val="00435263"/>
    <w:rsid w:val="00442147"/>
    <w:rsid w:val="004423DC"/>
    <w:rsid w:val="004512B9"/>
    <w:rsid w:val="00454E79"/>
    <w:rsid w:val="0046052C"/>
    <w:rsid w:val="00460F7D"/>
    <w:rsid w:val="00461108"/>
    <w:rsid w:val="00465D27"/>
    <w:rsid w:val="0047192B"/>
    <w:rsid w:val="0047503E"/>
    <w:rsid w:val="00476007"/>
    <w:rsid w:val="004830BF"/>
    <w:rsid w:val="0048611D"/>
    <w:rsid w:val="0049668A"/>
    <w:rsid w:val="004970A8"/>
    <w:rsid w:val="004A0E6C"/>
    <w:rsid w:val="004A12EC"/>
    <w:rsid w:val="004A356C"/>
    <w:rsid w:val="004B7415"/>
    <w:rsid w:val="004B79F4"/>
    <w:rsid w:val="004C023A"/>
    <w:rsid w:val="004C19AD"/>
    <w:rsid w:val="004C620C"/>
    <w:rsid w:val="004C72C2"/>
    <w:rsid w:val="004D126A"/>
    <w:rsid w:val="004D6CDA"/>
    <w:rsid w:val="004E2913"/>
    <w:rsid w:val="004E4512"/>
    <w:rsid w:val="004E67D1"/>
    <w:rsid w:val="0050416E"/>
    <w:rsid w:val="0050624E"/>
    <w:rsid w:val="00506886"/>
    <w:rsid w:val="00511197"/>
    <w:rsid w:val="005145E8"/>
    <w:rsid w:val="005155A8"/>
    <w:rsid w:val="005176EF"/>
    <w:rsid w:val="00527ECF"/>
    <w:rsid w:val="00530AC3"/>
    <w:rsid w:val="00542D47"/>
    <w:rsid w:val="005437B1"/>
    <w:rsid w:val="0055071E"/>
    <w:rsid w:val="00552764"/>
    <w:rsid w:val="00552CCF"/>
    <w:rsid w:val="00565FB6"/>
    <w:rsid w:val="00572868"/>
    <w:rsid w:val="0057451A"/>
    <w:rsid w:val="00592B4F"/>
    <w:rsid w:val="00597BC9"/>
    <w:rsid w:val="005A1D6F"/>
    <w:rsid w:val="005A402B"/>
    <w:rsid w:val="005A52B3"/>
    <w:rsid w:val="005B330A"/>
    <w:rsid w:val="005B3519"/>
    <w:rsid w:val="005B3595"/>
    <w:rsid w:val="005B4A84"/>
    <w:rsid w:val="005C6B54"/>
    <w:rsid w:val="005D0007"/>
    <w:rsid w:val="005D311B"/>
    <w:rsid w:val="005D37EA"/>
    <w:rsid w:val="005D4ECC"/>
    <w:rsid w:val="005E3D4C"/>
    <w:rsid w:val="005E6DB3"/>
    <w:rsid w:val="005F0E9E"/>
    <w:rsid w:val="00612933"/>
    <w:rsid w:val="00616982"/>
    <w:rsid w:val="00623710"/>
    <w:rsid w:val="00625772"/>
    <w:rsid w:val="006271B5"/>
    <w:rsid w:val="00633F63"/>
    <w:rsid w:val="00634EEA"/>
    <w:rsid w:val="00642B8B"/>
    <w:rsid w:val="006469F3"/>
    <w:rsid w:val="00654378"/>
    <w:rsid w:val="00657BF6"/>
    <w:rsid w:val="00665674"/>
    <w:rsid w:val="00666358"/>
    <w:rsid w:val="00666471"/>
    <w:rsid w:val="00666939"/>
    <w:rsid w:val="0067013C"/>
    <w:rsid w:val="006708B6"/>
    <w:rsid w:val="00671767"/>
    <w:rsid w:val="006767CA"/>
    <w:rsid w:val="0068084D"/>
    <w:rsid w:val="006824D2"/>
    <w:rsid w:val="00683582"/>
    <w:rsid w:val="00683674"/>
    <w:rsid w:val="006937B4"/>
    <w:rsid w:val="006A2D0C"/>
    <w:rsid w:val="006D5B79"/>
    <w:rsid w:val="006D6064"/>
    <w:rsid w:val="006D7912"/>
    <w:rsid w:val="006E07BF"/>
    <w:rsid w:val="006F1531"/>
    <w:rsid w:val="006F1FDA"/>
    <w:rsid w:val="006F58C6"/>
    <w:rsid w:val="006F5A2C"/>
    <w:rsid w:val="00703B5E"/>
    <w:rsid w:val="00704151"/>
    <w:rsid w:val="007101A3"/>
    <w:rsid w:val="007153F8"/>
    <w:rsid w:val="00720AFE"/>
    <w:rsid w:val="00725239"/>
    <w:rsid w:val="00725558"/>
    <w:rsid w:val="00733309"/>
    <w:rsid w:val="0074320D"/>
    <w:rsid w:val="00750E88"/>
    <w:rsid w:val="007513EB"/>
    <w:rsid w:val="00756900"/>
    <w:rsid w:val="007635FA"/>
    <w:rsid w:val="00772967"/>
    <w:rsid w:val="00773A36"/>
    <w:rsid w:val="00777E2A"/>
    <w:rsid w:val="007863D1"/>
    <w:rsid w:val="00794D4F"/>
    <w:rsid w:val="00795CAE"/>
    <w:rsid w:val="007978C7"/>
    <w:rsid w:val="007A071D"/>
    <w:rsid w:val="007A2B2C"/>
    <w:rsid w:val="007A752F"/>
    <w:rsid w:val="007A77E1"/>
    <w:rsid w:val="007B750E"/>
    <w:rsid w:val="007C0EF8"/>
    <w:rsid w:val="007C5E4B"/>
    <w:rsid w:val="007D2FF3"/>
    <w:rsid w:val="007D41C4"/>
    <w:rsid w:val="007E27D2"/>
    <w:rsid w:val="007E70A6"/>
    <w:rsid w:val="007F048B"/>
    <w:rsid w:val="007F051E"/>
    <w:rsid w:val="00802D3D"/>
    <w:rsid w:val="0083120D"/>
    <w:rsid w:val="00846EEF"/>
    <w:rsid w:val="0085381C"/>
    <w:rsid w:val="00853B44"/>
    <w:rsid w:val="00854A3F"/>
    <w:rsid w:val="00860F39"/>
    <w:rsid w:val="008628DC"/>
    <w:rsid w:val="00865497"/>
    <w:rsid w:val="00866D3A"/>
    <w:rsid w:val="00870F09"/>
    <w:rsid w:val="00876262"/>
    <w:rsid w:val="00880215"/>
    <w:rsid w:val="008810C6"/>
    <w:rsid w:val="0088671F"/>
    <w:rsid w:val="008932CE"/>
    <w:rsid w:val="008A3330"/>
    <w:rsid w:val="008A51D9"/>
    <w:rsid w:val="008A7917"/>
    <w:rsid w:val="008B1D6A"/>
    <w:rsid w:val="008C21D7"/>
    <w:rsid w:val="008C644E"/>
    <w:rsid w:val="008C7C35"/>
    <w:rsid w:val="008D49EE"/>
    <w:rsid w:val="008D6537"/>
    <w:rsid w:val="008E23A9"/>
    <w:rsid w:val="008E2EFF"/>
    <w:rsid w:val="008E5014"/>
    <w:rsid w:val="008E63D6"/>
    <w:rsid w:val="008E69E8"/>
    <w:rsid w:val="008F37C0"/>
    <w:rsid w:val="008F7081"/>
    <w:rsid w:val="008F7AF4"/>
    <w:rsid w:val="00903AAE"/>
    <w:rsid w:val="00904D5E"/>
    <w:rsid w:val="00912509"/>
    <w:rsid w:val="00916F7D"/>
    <w:rsid w:val="00924ACD"/>
    <w:rsid w:val="00925F68"/>
    <w:rsid w:val="009270E1"/>
    <w:rsid w:val="00930028"/>
    <w:rsid w:val="009319D5"/>
    <w:rsid w:val="00931C9F"/>
    <w:rsid w:val="00937444"/>
    <w:rsid w:val="00944B88"/>
    <w:rsid w:val="0094557D"/>
    <w:rsid w:val="009467DD"/>
    <w:rsid w:val="00950AA0"/>
    <w:rsid w:val="00957046"/>
    <w:rsid w:val="0096237D"/>
    <w:rsid w:val="00982980"/>
    <w:rsid w:val="00990511"/>
    <w:rsid w:val="009A0DAD"/>
    <w:rsid w:val="009B431E"/>
    <w:rsid w:val="009B494E"/>
    <w:rsid w:val="009B5925"/>
    <w:rsid w:val="009E0A99"/>
    <w:rsid w:val="009E42A5"/>
    <w:rsid w:val="009F1551"/>
    <w:rsid w:val="009F1C1A"/>
    <w:rsid w:val="009F1D6D"/>
    <w:rsid w:val="009F5852"/>
    <w:rsid w:val="00A035B5"/>
    <w:rsid w:val="00A03FD1"/>
    <w:rsid w:val="00A24D9E"/>
    <w:rsid w:val="00A309B4"/>
    <w:rsid w:val="00A32D46"/>
    <w:rsid w:val="00A330D7"/>
    <w:rsid w:val="00A410C3"/>
    <w:rsid w:val="00A52414"/>
    <w:rsid w:val="00A55434"/>
    <w:rsid w:val="00A642FC"/>
    <w:rsid w:val="00A64ACD"/>
    <w:rsid w:val="00A70A7C"/>
    <w:rsid w:val="00A717FE"/>
    <w:rsid w:val="00A75ADA"/>
    <w:rsid w:val="00A76CC3"/>
    <w:rsid w:val="00A80780"/>
    <w:rsid w:val="00A80E4F"/>
    <w:rsid w:val="00A83BF4"/>
    <w:rsid w:val="00A95369"/>
    <w:rsid w:val="00A95C37"/>
    <w:rsid w:val="00A97856"/>
    <w:rsid w:val="00A9789F"/>
    <w:rsid w:val="00AA7E80"/>
    <w:rsid w:val="00AB0E6C"/>
    <w:rsid w:val="00AB45C5"/>
    <w:rsid w:val="00AB57F9"/>
    <w:rsid w:val="00AB7364"/>
    <w:rsid w:val="00AC0D08"/>
    <w:rsid w:val="00AC23D5"/>
    <w:rsid w:val="00AC459B"/>
    <w:rsid w:val="00AC5878"/>
    <w:rsid w:val="00AD740E"/>
    <w:rsid w:val="00AD76D9"/>
    <w:rsid w:val="00AE6948"/>
    <w:rsid w:val="00AE7B41"/>
    <w:rsid w:val="00AF04B3"/>
    <w:rsid w:val="00B01637"/>
    <w:rsid w:val="00B056B9"/>
    <w:rsid w:val="00B129C2"/>
    <w:rsid w:val="00B2493D"/>
    <w:rsid w:val="00B25F50"/>
    <w:rsid w:val="00B45D36"/>
    <w:rsid w:val="00B57B1A"/>
    <w:rsid w:val="00B71C75"/>
    <w:rsid w:val="00B734D9"/>
    <w:rsid w:val="00B774CB"/>
    <w:rsid w:val="00B820BC"/>
    <w:rsid w:val="00B87CB9"/>
    <w:rsid w:val="00B969FB"/>
    <w:rsid w:val="00BA1684"/>
    <w:rsid w:val="00BA5BE9"/>
    <w:rsid w:val="00BB01D1"/>
    <w:rsid w:val="00BC6FE8"/>
    <w:rsid w:val="00BD08EA"/>
    <w:rsid w:val="00BD1804"/>
    <w:rsid w:val="00BD2EF7"/>
    <w:rsid w:val="00BD382D"/>
    <w:rsid w:val="00BD5490"/>
    <w:rsid w:val="00BE40FD"/>
    <w:rsid w:val="00BE48DC"/>
    <w:rsid w:val="00BF48A7"/>
    <w:rsid w:val="00BF6168"/>
    <w:rsid w:val="00C00061"/>
    <w:rsid w:val="00C04B55"/>
    <w:rsid w:val="00C0560E"/>
    <w:rsid w:val="00C11424"/>
    <w:rsid w:val="00C1581E"/>
    <w:rsid w:val="00C21A47"/>
    <w:rsid w:val="00C24674"/>
    <w:rsid w:val="00C250F9"/>
    <w:rsid w:val="00C31FDA"/>
    <w:rsid w:val="00C34CEB"/>
    <w:rsid w:val="00C34FBF"/>
    <w:rsid w:val="00C36A73"/>
    <w:rsid w:val="00C44F2A"/>
    <w:rsid w:val="00C577CD"/>
    <w:rsid w:val="00C62697"/>
    <w:rsid w:val="00C65180"/>
    <w:rsid w:val="00C65DA6"/>
    <w:rsid w:val="00C714A4"/>
    <w:rsid w:val="00C76053"/>
    <w:rsid w:val="00C81BB7"/>
    <w:rsid w:val="00C82865"/>
    <w:rsid w:val="00C836ED"/>
    <w:rsid w:val="00C940FC"/>
    <w:rsid w:val="00C97FC6"/>
    <w:rsid w:val="00CA4DDD"/>
    <w:rsid w:val="00CA60FD"/>
    <w:rsid w:val="00CB09CD"/>
    <w:rsid w:val="00CB1C51"/>
    <w:rsid w:val="00CB2F1E"/>
    <w:rsid w:val="00CD034E"/>
    <w:rsid w:val="00CD74C6"/>
    <w:rsid w:val="00CF592A"/>
    <w:rsid w:val="00D10500"/>
    <w:rsid w:val="00D12B70"/>
    <w:rsid w:val="00D153A0"/>
    <w:rsid w:val="00D2491E"/>
    <w:rsid w:val="00D32682"/>
    <w:rsid w:val="00D34165"/>
    <w:rsid w:val="00D37EC3"/>
    <w:rsid w:val="00D4088C"/>
    <w:rsid w:val="00D44B71"/>
    <w:rsid w:val="00D45685"/>
    <w:rsid w:val="00D54248"/>
    <w:rsid w:val="00D63925"/>
    <w:rsid w:val="00D71904"/>
    <w:rsid w:val="00D83834"/>
    <w:rsid w:val="00D900BE"/>
    <w:rsid w:val="00D923C4"/>
    <w:rsid w:val="00DB1178"/>
    <w:rsid w:val="00DB5AA7"/>
    <w:rsid w:val="00DC3AFA"/>
    <w:rsid w:val="00DC7EFE"/>
    <w:rsid w:val="00DD51AA"/>
    <w:rsid w:val="00DE1192"/>
    <w:rsid w:val="00DE3AD3"/>
    <w:rsid w:val="00DF12B7"/>
    <w:rsid w:val="00E013D7"/>
    <w:rsid w:val="00E01E6F"/>
    <w:rsid w:val="00E02186"/>
    <w:rsid w:val="00E03289"/>
    <w:rsid w:val="00E03E6A"/>
    <w:rsid w:val="00E10108"/>
    <w:rsid w:val="00E1288F"/>
    <w:rsid w:val="00E23404"/>
    <w:rsid w:val="00E27E6A"/>
    <w:rsid w:val="00E421A4"/>
    <w:rsid w:val="00E42D32"/>
    <w:rsid w:val="00E66DF8"/>
    <w:rsid w:val="00E71D57"/>
    <w:rsid w:val="00E7610B"/>
    <w:rsid w:val="00E77E11"/>
    <w:rsid w:val="00E93B67"/>
    <w:rsid w:val="00E94350"/>
    <w:rsid w:val="00E94651"/>
    <w:rsid w:val="00E94C49"/>
    <w:rsid w:val="00E975FB"/>
    <w:rsid w:val="00EA121B"/>
    <w:rsid w:val="00EA307E"/>
    <w:rsid w:val="00EA4212"/>
    <w:rsid w:val="00EA4E9C"/>
    <w:rsid w:val="00EA6E70"/>
    <w:rsid w:val="00EA7C03"/>
    <w:rsid w:val="00EC2E47"/>
    <w:rsid w:val="00EC47DE"/>
    <w:rsid w:val="00ED1B93"/>
    <w:rsid w:val="00ED317D"/>
    <w:rsid w:val="00ED4770"/>
    <w:rsid w:val="00ED5CF1"/>
    <w:rsid w:val="00EE03D1"/>
    <w:rsid w:val="00EE2CB4"/>
    <w:rsid w:val="00EE7AC3"/>
    <w:rsid w:val="00EF5C11"/>
    <w:rsid w:val="00EF62CD"/>
    <w:rsid w:val="00EF6CC0"/>
    <w:rsid w:val="00EF7268"/>
    <w:rsid w:val="00EF77F0"/>
    <w:rsid w:val="00F0293D"/>
    <w:rsid w:val="00F1568E"/>
    <w:rsid w:val="00F16D22"/>
    <w:rsid w:val="00F21DEB"/>
    <w:rsid w:val="00F2444B"/>
    <w:rsid w:val="00F26240"/>
    <w:rsid w:val="00F30B3E"/>
    <w:rsid w:val="00F337B4"/>
    <w:rsid w:val="00F33D1C"/>
    <w:rsid w:val="00F42A29"/>
    <w:rsid w:val="00F4348F"/>
    <w:rsid w:val="00F45226"/>
    <w:rsid w:val="00F45B32"/>
    <w:rsid w:val="00F53597"/>
    <w:rsid w:val="00F601C5"/>
    <w:rsid w:val="00F6119B"/>
    <w:rsid w:val="00F64C02"/>
    <w:rsid w:val="00F66B44"/>
    <w:rsid w:val="00F806D9"/>
    <w:rsid w:val="00F86A6A"/>
    <w:rsid w:val="00F90066"/>
    <w:rsid w:val="00F93696"/>
    <w:rsid w:val="00FA316D"/>
    <w:rsid w:val="00FA3FAE"/>
    <w:rsid w:val="00FA4003"/>
    <w:rsid w:val="00FA5B1E"/>
    <w:rsid w:val="00FA5C0F"/>
    <w:rsid w:val="00FB2C90"/>
    <w:rsid w:val="00FC7FA1"/>
    <w:rsid w:val="00FD2DBB"/>
    <w:rsid w:val="00FE2C59"/>
    <w:rsid w:val="00FE498A"/>
    <w:rsid w:val="00FE62E7"/>
    <w:rsid w:val="00FE64C1"/>
    <w:rsid w:val="00FE7495"/>
    <w:rsid w:val="00FF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4AD"/>
  <w15:chartTrackingRefBased/>
  <w15:docId w15:val="{A556A938-C92C-435A-A087-5AE56B49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4088C"/>
    <w:pPr>
      <w:spacing w:before="40" w:after="40" w:line="240" w:lineRule="auto"/>
    </w:pPr>
    <w:rPr>
      <w:rFonts w:ascii="Calibri" w:hAnsi="Calibri"/>
      <w:kern w:val="0"/>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119B"/>
    <w:pPr>
      <w:spacing w:before="120" w:after="120" w:line="240" w:lineRule="auto"/>
    </w:pPr>
    <w:rPr>
      <w:rFonts w:ascii="Calibri" w:hAnsi="Calibri"/>
      <w:kern w:val="0"/>
      <w:lang w:val="en-A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3595"/>
    <w:pPr>
      <w:tabs>
        <w:tab w:val="center" w:pos="4680"/>
        <w:tab w:val="right" w:pos="9360"/>
      </w:tabs>
      <w:spacing w:before="0" w:after="0"/>
    </w:pPr>
  </w:style>
  <w:style w:type="character" w:customStyle="1" w:styleId="HeaderChar">
    <w:name w:val="Header Char"/>
    <w:basedOn w:val="DefaultParagraphFont"/>
    <w:link w:val="Header"/>
    <w:uiPriority w:val="99"/>
    <w:rsid w:val="005B3595"/>
    <w:rPr>
      <w:rFonts w:ascii="Calibri" w:hAnsi="Calibri"/>
      <w:kern w:val="0"/>
      <w:lang w:val="en-AU"/>
      <w14:ligatures w14:val="none"/>
    </w:rPr>
  </w:style>
  <w:style w:type="paragraph" w:styleId="Footer">
    <w:name w:val="footer"/>
    <w:basedOn w:val="Normal"/>
    <w:link w:val="FooterChar"/>
    <w:uiPriority w:val="99"/>
    <w:unhideWhenUsed/>
    <w:rsid w:val="005B3595"/>
    <w:pPr>
      <w:tabs>
        <w:tab w:val="center" w:pos="4680"/>
        <w:tab w:val="right" w:pos="9360"/>
      </w:tabs>
      <w:spacing w:before="0" w:after="0"/>
    </w:pPr>
  </w:style>
  <w:style w:type="character" w:customStyle="1" w:styleId="FooterChar">
    <w:name w:val="Footer Char"/>
    <w:basedOn w:val="DefaultParagraphFont"/>
    <w:link w:val="Footer"/>
    <w:uiPriority w:val="99"/>
    <w:rsid w:val="005B3595"/>
    <w:rPr>
      <w:rFonts w:ascii="Calibri" w:hAnsi="Calibri"/>
      <w:kern w:val="0"/>
      <w:lang w:val="en-AU"/>
      <w14:ligatures w14:val="none"/>
    </w:rPr>
  </w:style>
  <w:style w:type="paragraph" w:styleId="ListParagraph">
    <w:name w:val="List Paragraph"/>
    <w:basedOn w:val="Normal"/>
    <w:uiPriority w:val="34"/>
    <w:qFormat/>
    <w:rsid w:val="005B3595"/>
    <w:pPr>
      <w:ind w:left="720"/>
      <w:contextualSpacing/>
    </w:pPr>
  </w:style>
  <w:style w:type="paragraph" w:styleId="FootnoteText">
    <w:name w:val="footnote text"/>
    <w:basedOn w:val="Normal"/>
    <w:link w:val="FootnoteTextChar"/>
    <w:uiPriority w:val="99"/>
    <w:semiHidden/>
    <w:unhideWhenUsed/>
    <w:rsid w:val="00E975FB"/>
    <w:pPr>
      <w:spacing w:before="0" w:after="0"/>
    </w:pPr>
    <w:rPr>
      <w:sz w:val="20"/>
      <w:szCs w:val="20"/>
    </w:rPr>
  </w:style>
  <w:style w:type="character" w:customStyle="1" w:styleId="FootnoteTextChar">
    <w:name w:val="Footnote Text Char"/>
    <w:basedOn w:val="DefaultParagraphFont"/>
    <w:link w:val="FootnoteText"/>
    <w:uiPriority w:val="99"/>
    <w:semiHidden/>
    <w:rsid w:val="00E975FB"/>
    <w:rPr>
      <w:rFonts w:ascii="Calibri" w:hAnsi="Calibri"/>
      <w:kern w:val="0"/>
      <w:sz w:val="20"/>
      <w:szCs w:val="20"/>
      <w:lang w:val="en-AU"/>
      <w14:ligatures w14:val="none"/>
    </w:rPr>
  </w:style>
  <w:style w:type="character" w:styleId="FootnoteReference">
    <w:name w:val="footnote reference"/>
    <w:basedOn w:val="DefaultParagraphFont"/>
    <w:uiPriority w:val="99"/>
    <w:semiHidden/>
    <w:unhideWhenUsed/>
    <w:rsid w:val="00E975FB"/>
    <w:rPr>
      <w:vertAlign w:val="superscript"/>
    </w:rPr>
  </w:style>
  <w:style w:type="character" w:styleId="Hyperlink">
    <w:name w:val="Hyperlink"/>
    <w:basedOn w:val="DefaultParagraphFont"/>
    <w:uiPriority w:val="99"/>
    <w:unhideWhenUsed/>
    <w:rsid w:val="00465D27"/>
    <w:rPr>
      <w:color w:val="0563C1" w:themeColor="hyperlink"/>
      <w:u w:val="single"/>
    </w:rPr>
  </w:style>
  <w:style w:type="character" w:styleId="UnresolvedMention">
    <w:name w:val="Unresolved Mention"/>
    <w:basedOn w:val="DefaultParagraphFont"/>
    <w:uiPriority w:val="99"/>
    <w:semiHidden/>
    <w:unhideWhenUsed/>
    <w:rsid w:val="00465D27"/>
    <w:rPr>
      <w:color w:val="605E5C"/>
      <w:shd w:val="clear" w:color="auto" w:fill="E1DFDD"/>
    </w:rPr>
  </w:style>
  <w:style w:type="paragraph" w:styleId="Revision">
    <w:name w:val="Revision"/>
    <w:hidden/>
    <w:uiPriority w:val="99"/>
    <w:semiHidden/>
    <w:rsid w:val="00F64C02"/>
    <w:pPr>
      <w:spacing w:after="0" w:line="240" w:lineRule="auto"/>
    </w:pPr>
    <w:rPr>
      <w:rFonts w:ascii="Calibri" w:hAnsi="Calibri"/>
      <w:kern w:val="0"/>
      <w:lang w:val="en-AU"/>
      <w14:ligatures w14:val="none"/>
    </w:rPr>
  </w:style>
  <w:style w:type="character" w:styleId="CommentReference">
    <w:name w:val="annotation reference"/>
    <w:basedOn w:val="DefaultParagraphFont"/>
    <w:uiPriority w:val="99"/>
    <w:semiHidden/>
    <w:unhideWhenUsed/>
    <w:rsid w:val="007978C7"/>
    <w:rPr>
      <w:sz w:val="16"/>
      <w:szCs w:val="16"/>
    </w:rPr>
  </w:style>
  <w:style w:type="paragraph" w:styleId="CommentText">
    <w:name w:val="annotation text"/>
    <w:basedOn w:val="Normal"/>
    <w:link w:val="CommentTextChar"/>
    <w:uiPriority w:val="99"/>
    <w:unhideWhenUsed/>
    <w:rsid w:val="007978C7"/>
    <w:rPr>
      <w:sz w:val="20"/>
      <w:szCs w:val="20"/>
    </w:rPr>
  </w:style>
  <w:style w:type="character" w:customStyle="1" w:styleId="CommentTextChar">
    <w:name w:val="Comment Text Char"/>
    <w:basedOn w:val="DefaultParagraphFont"/>
    <w:link w:val="CommentText"/>
    <w:uiPriority w:val="99"/>
    <w:rsid w:val="007978C7"/>
    <w:rPr>
      <w:rFonts w:ascii="Calibri" w:hAnsi="Calibri"/>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7978C7"/>
    <w:rPr>
      <w:b/>
      <w:bCs/>
    </w:rPr>
  </w:style>
  <w:style w:type="character" w:customStyle="1" w:styleId="CommentSubjectChar">
    <w:name w:val="Comment Subject Char"/>
    <w:basedOn w:val="CommentTextChar"/>
    <w:link w:val="CommentSubject"/>
    <w:uiPriority w:val="99"/>
    <w:semiHidden/>
    <w:rsid w:val="007978C7"/>
    <w:rPr>
      <w:rFonts w:ascii="Calibri" w:hAnsi="Calibri"/>
      <w:b/>
      <w:bCs/>
      <w:kern w:val="0"/>
      <w:sz w:val="20"/>
      <w:szCs w:val="20"/>
      <w:lang w:val="en-AU"/>
      <w14:ligatures w14:val="none"/>
    </w:rPr>
  </w:style>
  <w:style w:type="character" w:styleId="FollowedHyperlink">
    <w:name w:val="FollowedHyperlink"/>
    <w:basedOn w:val="DefaultParagraphFont"/>
    <w:uiPriority w:val="99"/>
    <w:semiHidden/>
    <w:unhideWhenUsed/>
    <w:rsid w:val="000314EE"/>
    <w:rPr>
      <w:color w:val="954F72" w:themeColor="followedHyperlink"/>
      <w:u w:val="single"/>
    </w:rPr>
  </w:style>
  <w:style w:type="paragraph" w:styleId="Title">
    <w:name w:val="Title"/>
    <w:next w:val="Normal"/>
    <w:link w:val="TitleChar"/>
    <w:uiPriority w:val="10"/>
    <w:qFormat/>
    <w:rsid w:val="00000B9F"/>
    <w:pPr>
      <w:spacing w:after="360" w:line="240" w:lineRule="auto"/>
      <w:jc w:val="center"/>
    </w:pPr>
    <w:rPr>
      <w:rFonts w:eastAsiaTheme="majorEastAsia" w:cstheme="minorHAnsi"/>
      <w:b/>
      <w:bCs/>
      <w:spacing w:val="-10"/>
      <w:kern w:val="28"/>
      <w:sz w:val="28"/>
      <w:szCs w:val="28"/>
      <w:lang w:val="en-AU" w:eastAsia="en-AU"/>
      <w14:ligatures w14:val="none"/>
    </w:rPr>
  </w:style>
  <w:style w:type="character" w:customStyle="1" w:styleId="TitleChar">
    <w:name w:val="Title Char"/>
    <w:basedOn w:val="DefaultParagraphFont"/>
    <w:link w:val="Title"/>
    <w:uiPriority w:val="10"/>
    <w:rsid w:val="00000B9F"/>
    <w:rPr>
      <w:rFonts w:eastAsiaTheme="majorEastAsia" w:cstheme="minorHAnsi"/>
      <w:b/>
      <w:bCs/>
      <w:spacing w:val="-10"/>
      <w:kern w:val="28"/>
      <w:sz w:val="28"/>
      <w:szCs w:val="28"/>
      <w:lang w:val="en-AU" w:eastAsia="en-AU"/>
      <w14:ligatures w14:val="none"/>
    </w:rPr>
  </w:style>
  <w:style w:type="paragraph" w:customStyle="1" w:styleId="Heading">
    <w:name w:val="Heading"/>
    <w:basedOn w:val="Normal"/>
    <w:qFormat/>
    <w:rsid w:val="001B6E5E"/>
    <w:pPr>
      <w:spacing w:before="160" w:after="160"/>
    </w:pPr>
    <w:rPr>
      <w:rFonts w:asciiTheme="minorHAnsi" w:hAnsiTheme="minorHAnsi"/>
      <w:b/>
      <w:szCs w:val="20"/>
    </w:rPr>
  </w:style>
  <w:style w:type="paragraph" w:customStyle="1" w:styleId="TableHeading">
    <w:name w:val="Table Heading"/>
    <w:basedOn w:val="Normal"/>
    <w:uiPriority w:val="99"/>
    <w:qFormat/>
    <w:rsid w:val="00B734D9"/>
    <w:pPr>
      <w:jc w:val="center"/>
    </w:pPr>
    <w:rPr>
      <w:rFonts w:asciiTheme="minorHAnsi" w:hAnsiTheme="minorHAnsi" w:cstheme="minorHAnsi"/>
      <w:b/>
      <w:bCs/>
      <w:i/>
      <w:iCs/>
      <w:sz w:val="28"/>
    </w:rPr>
  </w:style>
  <w:style w:type="paragraph" w:customStyle="1" w:styleId="TableHeadingNumberingLevel1">
    <w:name w:val="Table Heading Numbering Level 1"/>
    <w:basedOn w:val="ListParagraph"/>
    <w:uiPriority w:val="99"/>
    <w:qFormat/>
    <w:rsid w:val="00870F09"/>
    <w:pPr>
      <w:numPr>
        <w:numId w:val="20"/>
      </w:numPr>
    </w:pPr>
    <w:rPr>
      <w:rFonts w:cs="Calibri"/>
    </w:rPr>
  </w:style>
  <w:style w:type="paragraph" w:customStyle="1" w:styleId="TableListLevel1">
    <w:name w:val="Table List Level 1"/>
    <w:basedOn w:val="Normal"/>
    <w:uiPriority w:val="99"/>
    <w:qFormat/>
    <w:rsid w:val="0096237D"/>
    <w:pPr>
      <w:numPr>
        <w:numId w:val="1"/>
      </w:numPr>
    </w:pPr>
  </w:style>
  <w:style w:type="paragraph" w:customStyle="1" w:styleId="TableListLevel2">
    <w:name w:val="Table List Level 2"/>
    <w:basedOn w:val="Normal"/>
    <w:uiPriority w:val="99"/>
    <w:qFormat/>
    <w:rsid w:val="001B16F0"/>
    <w:pPr>
      <w:numPr>
        <w:numId w:val="2"/>
      </w:numPr>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45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theartofestateplanning.com.au/products/testamentary-trust-precedents/categories/2148764199/posts/2168876477" TargetMode="External"/><Relationship Id="rId13" Type="http://schemas.openxmlformats.org/officeDocument/2006/relationships/hyperlink" Target="https://www.theartofestateplanning.com.au/products/the-tt-precedents-club/categories/2149667615/posts/2174874907" TargetMode="External"/><Relationship Id="rId18" Type="http://schemas.openxmlformats.org/officeDocument/2006/relationships/hyperlink" Target="https://www.theartofestateplanning.com.au/products/testamentary-trust-precedents/categories/2148764199/posts/2158724160" TargetMode="External"/><Relationship Id="rId26" Type="http://schemas.openxmlformats.org/officeDocument/2006/relationships/hyperlink" Target="https://www.theartofestateplanning.com.au/products/testamentary-trust-precedents/categories/2148764199/posts/2158793928" TargetMode="External"/><Relationship Id="rId3" Type="http://schemas.openxmlformats.org/officeDocument/2006/relationships/hyperlink" Target="https://www.theartofestateplanning.com.au/products/testamentary-trust-precedents/categories/2148764199/posts/2151927230" TargetMode="External"/><Relationship Id="rId21" Type="http://schemas.openxmlformats.org/officeDocument/2006/relationships/hyperlink" Target="https://www.theartofestateplanning.com.au/products/testamentary-trust-precedents/categories/2148764199/posts/2160557193" TargetMode="External"/><Relationship Id="rId7" Type="http://schemas.openxmlformats.org/officeDocument/2006/relationships/hyperlink" Target="https://www.theartofestateplanning.com.au/products/testamentary-trust-precedents/categories/2148764199/posts/2152008832" TargetMode="External"/><Relationship Id="rId12" Type="http://schemas.openxmlformats.org/officeDocument/2006/relationships/hyperlink" Target="https://www.theartofestateplanning.com.au/products/facebook-live-videos/categories/2150755408/posts/2159389441" TargetMode="External"/><Relationship Id="rId17" Type="http://schemas.openxmlformats.org/officeDocument/2006/relationships/hyperlink" Target="https://www.theartofestateplanning.com.au/products/testamentary-trust-precedents/categories/2148764199/posts/2169501298" TargetMode="External"/><Relationship Id="rId25" Type="http://schemas.openxmlformats.org/officeDocument/2006/relationships/hyperlink" Target="https://www.theartofestateplanning.com.au/products/testamentary-trust-precedents/categories/2148764199/posts/2158683906" TargetMode="External"/><Relationship Id="rId2" Type="http://schemas.openxmlformats.org/officeDocument/2006/relationships/hyperlink" Target="https://www.theartofestateplanning.com.au/products/testamentary-trust-precedents/categories/2148764199/posts/2165415661" TargetMode="External"/><Relationship Id="rId16" Type="http://schemas.openxmlformats.org/officeDocument/2006/relationships/hyperlink" Target="https://www.theartofestateplanning.com.au/products/testamentary-trust-precedents/categories/2148764199/posts/2152008998" TargetMode="External"/><Relationship Id="rId20" Type="http://schemas.openxmlformats.org/officeDocument/2006/relationships/hyperlink" Target="https://www.theartofestateplanning.com.au/products/testamentary-trust-precedents/categories/2148764199/posts/2173049365" TargetMode="External"/><Relationship Id="rId29" Type="http://schemas.openxmlformats.org/officeDocument/2006/relationships/hyperlink" Target="https://www.theartofestateplanning.com.au/products/facebook-live-videos/categories/2150762282/posts/2167132598" TargetMode="External"/><Relationship Id="rId1" Type="http://schemas.openxmlformats.org/officeDocument/2006/relationships/hyperlink" Target="https://www.theartofestateplanning.com.au/products/the-tt-precedents-club/categories/2149667615/posts/2165153291" TargetMode="External"/><Relationship Id="rId6" Type="http://schemas.openxmlformats.org/officeDocument/2006/relationships/hyperlink" Target="https://www.theartofestateplanning.com.au/products/testamentary-trust-precedents/categories/2148764199/posts/2152008455" TargetMode="External"/><Relationship Id="rId11" Type="http://schemas.openxmlformats.org/officeDocument/2006/relationships/hyperlink" Target="https://www.theartofestateplanning.com.au/products/testamentary-trust-precedents/categories/2148764199/posts/2170334873" TargetMode="External"/><Relationship Id="rId24" Type="http://schemas.openxmlformats.org/officeDocument/2006/relationships/hyperlink" Target="https://www.theartofestateplanning.com.au/products/testamentary-trust-precedents/categories/2148764199/posts/2155056216" TargetMode="External"/><Relationship Id="rId5" Type="http://schemas.openxmlformats.org/officeDocument/2006/relationships/hyperlink" Target="https://www.theartofestateplanning.com.au/products/testamentary-trust-precedents/categories/2148764199/posts/2152395105" TargetMode="External"/><Relationship Id="rId15" Type="http://schemas.openxmlformats.org/officeDocument/2006/relationships/hyperlink" Target="https://theartofestateplanning-my.sharepoint.com/personal/tara_theartofestateplanning_com_au/Documents/Precedents/Precedent%20Development/Draft%20Documents%20Checklist/If%20you%20are%20a%20member%20of%20the%20TT%20Precedents%20Club,%20you%20can%20find%20a%20recording%20of%20where%20we%20have%20discussed%20this" TargetMode="External"/><Relationship Id="rId23" Type="http://schemas.openxmlformats.org/officeDocument/2006/relationships/hyperlink" Target="https://www.theartofestateplanning.com.au/products/the-tt-precedents-club/categories/2149667615/posts/2174444965" TargetMode="External"/><Relationship Id="rId28" Type="http://schemas.openxmlformats.org/officeDocument/2006/relationships/hyperlink" Target="https://www.theartofestateplanning.com.au/products/testamentary-trust-precedents/categories/2148764199/posts/2176104747" TargetMode="External"/><Relationship Id="rId10" Type="http://schemas.openxmlformats.org/officeDocument/2006/relationships/hyperlink" Target="https://www.theartofestateplanning.com.au/products/the-tt-precedents-club/categories/2149667615/posts/2165745139" TargetMode="External"/><Relationship Id="rId19" Type="http://schemas.openxmlformats.org/officeDocument/2006/relationships/hyperlink" Target="https://www.theartofestateplanning.com.au/products/testamentary-trust-precedents/categories/2148764199/posts/2152008859" TargetMode="External"/><Relationship Id="rId4" Type="http://schemas.openxmlformats.org/officeDocument/2006/relationships/hyperlink" Target="https://www.theartofestateplanning.com.au/products/testamentary-trust-precedents/categories/2148764199/posts/2158793479" TargetMode="External"/><Relationship Id="rId9" Type="http://schemas.openxmlformats.org/officeDocument/2006/relationships/hyperlink" Target="https://www.theartofestateplanning.com.au/pricingtoolkit" TargetMode="External"/><Relationship Id="rId14" Type="http://schemas.openxmlformats.org/officeDocument/2006/relationships/hyperlink" Target="https://www.theartofestateplanning.com.au/products/the-tt-precedents-club/categories/2149667615/posts/2172639529" TargetMode="External"/><Relationship Id="rId22" Type="http://schemas.openxmlformats.org/officeDocument/2006/relationships/hyperlink" Target="https://www.theartofestateplanning.com.au/products/testamentary-trust-precedents/categories/2148764199/posts/2160557035" TargetMode="External"/><Relationship Id="rId27" Type="http://schemas.openxmlformats.org/officeDocument/2006/relationships/hyperlink" Target="http://www.theartofestateplanning.com.au/low" TargetMode="External"/><Relationship Id="rId30" Type="http://schemas.openxmlformats.org/officeDocument/2006/relationships/hyperlink" Target="https://www.theartofestateplanning.com.au/pricingtool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8E4DF0E0-0514-47CD-917F-9B1463ABEC93}">
  <ds:schemaRefs>
    <ds:schemaRef ds:uri="http://schemas.openxmlformats.org/officeDocument/2006/bibliography"/>
  </ds:schemaRefs>
</ds:datastoreItem>
</file>

<file path=customXml/itemProps2.xml><?xml version="1.0" encoding="utf-8"?>
<ds:datastoreItem xmlns:ds="http://schemas.openxmlformats.org/officeDocument/2006/customXml" ds:itemID="{639646BD-9F63-4679-AD57-97630402FBA3}"/>
</file>

<file path=customXml/itemProps3.xml><?xml version="1.0" encoding="utf-8"?>
<ds:datastoreItem xmlns:ds="http://schemas.openxmlformats.org/officeDocument/2006/customXml" ds:itemID="{39B59574-EBAB-4F52-89A8-40C05E4A117F}"/>
</file>

<file path=customXml/itemProps4.xml><?xml version="1.0" encoding="utf-8"?>
<ds:datastoreItem xmlns:ds="http://schemas.openxmlformats.org/officeDocument/2006/customXml" ds:itemID="{4043013B-4EFD-4580-A7D6-5E14774E8E02}"/>
</file>

<file path=docProps/app.xml><?xml version="1.0" encoding="utf-8"?>
<Properties xmlns="http://schemas.openxmlformats.org/officeDocument/2006/extended-properties" xmlns:vt="http://schemas.openxmlformats.org/officeDocument/2006/docPropsVTypes">
  <Template>Normal</Template>
  <TotalTime>0</TotalTime>
  <Pages>10</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tara@theartofestateplanning.com.au</dc:creator>
  <cp:keywords/>
  <dc:description/>
  <cp:lastModifiedBy>Tara Lucke</cp:lastModifiedBy>
  <cp:revision>4</cp:revision>
  <cp:lastPrinted>2025-04-08T01:32:00Z</cp:lastPrinted>
  <dcterms:created xsi:type="dcterms:W3CDTF">2025-05-03T00:54:00Z</dcterms:created>
  <dcterms:modified xsi:type="dcterms:W3CDTF">2025-05-05T04:38:00Z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