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THE NEW ECONOMICS OF DELEGATION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Why the math changed — and what it means for how you allocate yourself</w:t>
      </w:r>
    </w:p>
    <w:p>
      <w:pPr>
        <w:pBdr>
          <w:bottom w:val="single" w:color="E94560" w:sz="16" w:space="1"/>
        </w:pBdr>
        <w:spacing w:after="0" w:before="0"/>
      </w:pP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What Changed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Old Model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Scaling delegation meant hiring. Hiring carried three distinct costs: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 transaction cost to initiate — recruiting, interviewing,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Significant ramp time before the resource was productive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Ongoing fixed cost regardless of output — salary, overhead, management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These costs acted as a natural governor. Your portfolio stayed bounded because the economics forced it bounded.</w:t>
            </w:r>
          </w:p>
        </w:tc>
        <w:tc>
          <w:tcPr>
            <w:tcW w:type="dxa" w:w="456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60"/>
              <w:left w:type="dxa" w:w="240"/>
              <w:bottom w:type="dxa" w:w="6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New Model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delegation collapsed two of those three costs: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 cost to initiate → near zero. Spin up a workstream in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Ramp time → near zero. No onboarding, no trust-building, no learning curve.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Ongoing execution cost → a small fraction of human equivalent.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natural governor is gone. Nothing stops portfolio expansion now.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The Constraint That Remains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cost did not go to zero: the cost of 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One cost did not go to zero: the cost of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you.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Every delegation relationship — no matter how autonomous — requires a minimum ongoing investment of cognitive capital: direction, intake, judgment, horizon-scanning. That floor always existed. AI just made it the only thing left.</w:t>
      </w:r>
    </w:p>
    <w:p>
      <w:pPr>
        <w:spacing w:after="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CC" w:sz="1"/>
              <w:left w:val="thick" w:color="E94560" w:sz="12"/>
              <w:bottom w:val="single" w:color="BBBBCC" w:sz="1"/>
              <w:right w:val="single" w:color="BBBBCC" w:sz="1"/>
            </w:tcBorders>
            <w:shd w:fill="EEF0F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Cognitive Carrying Cost (CCC)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→ The minimum ongoing investment of attention and judgment required to keep a delegation relationship productive.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→ Below this threshold: output degrades, goes off-rails, or silently stalls.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i/>
                <w:iCs/>
                <w:color w:val="444466"/>
                <w:sz w:val="20"/>
                <w:szCs w:val="20"/>
              </w:rPr>
              <w:t xml:space="preserve">→ Previously masked by resource cost. Now it's the only constraint.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Three Return Regimes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Not all projects are equal. Every workstream falls into one of three regimes — and the math is very different in each.</w:t>
      </w:r>
    </w:p>
    <w:p>
      <w:pPr>
        <w:spacing w:after="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4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Regime 1  </w:t>
            </w:r>
            <w:r>
              <w:rPr>
                <w:rFonts w:ascii="Arial" w:cs="Arial" w:eastAsia="Arial" w:hAnsi="Arial"/>
                <w:color w:val="444466"/>
                <w:sz w:val="19"/>
                <w:szCs w:val="19"/>
              </w:rPr>
              <w:t xml:space="preserve">One-time effort → one-time return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 build it, it pays off, you're done. No ongoing draw on cognitive capital.</w:t>
            </w:r>
          </w:p>
          <w:p>
            <w:pPr>
              <w:spacing w:after="0" w:before="80"/>
            </w:pP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Regime 2  </w:t>
            </w:r>
            <w:r>
              <w:rPr>
                <w:rFonts w:ascii="Arial" w:cs="Arial" w:eastAsia="Arial" w:hAnsi="Arial"/>
                <w:color w:val="444466"/>
                <w:sz w:val="19"/>
                <w:szCs w:val="19"/>
              </w:rPr>
              <w:t xml:space="preserve">One-time effort → ongoing return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Fire-and-forget. Invest once, the system runs autonomously and keeps producing. Cognitive draw after launch approaches zero. This is the most valuable position in the model.</w:t>
            </w:r>
          </w:p>
        </w:tc>
        <w:tc>
          <w:tcPr>
            <w:tcW w:type="dxa" w:w="4560"/>
            <w:tcBorders>
              <w:top w:val="none"/>
              <w:left w:val="single" w:color="DDDDDD" w:sz="4"/>
              <w:bottom w:val="none"/>
              <w:right w:val="none"/>
            </w:tcBorders>
            <w:tcMar>
              <w:top w:type="dxa" w:w="60"/>
              <w:left w:type="dxa" w:w="240"/>
              <w:bottom w:type="dxa" w:w="6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Regime 3  </w:t>
            </w:r>
            <w:r>
              <w:rPr>
                <w:rFonts w:ascii="Arial" w:cs="Arial" w:eastAsia="Arial" w:hAnsi="Arial"/>
                <w:color w:val="444466"/>
                <w:sz w:val="19"/>
                <w:szCs w:val="19"/>
              </w:rPr>
              <w:t xml:space="preserve">Ongoing effort → ongoing return  ← most common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reverse annuity. You must keep injecting cognitive capital to keep getting return. This is where CCC lives — and where most projects actually sit.</w:t>
            </w:r>
          </w:p>
          <w:p>
            <w:pPr>
              <w:spacing w:after="0" w:before="6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return curve here is non-linear and has a critical kink: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 &lt; CCC:  project degrades, return goes negative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CCC ≤ x &lt; T:  keeping lights on, return is marginal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x ≥ T:  activation threshold crossed, return jumps</w:t>
            </w:r>
          </w:p>
          <w:p>
            <w:pPr>
              <w:spacing w:after="0" w:before="4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Underfunding above the floor is almost as bad as falling below it — you pay carrying cost without reaching the productive zone.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The Leverage Parameter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 project has a leverage factor </w:t>
      </w: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L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a measure of how autonomous its return stream is: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 = 0    Pure reverse annuity — every unit of return requires ongoing cognitive injection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 = 1    Pure fire-and-forget — capital invested once, return is perpetual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Most projects sit between 0 and 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Crucially, L is not fixed — you can move it through architectural decisions.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Building tighter specifications, better tooling, more autonomous pipelines — all of these shift L toward 1. The strategic goal is to run the portfolio as far right on this spectrum as possible.</w:t>
      </w:r>
    </w:p>
    <w:p>
      <w:pPr>
        <w:spacing w:after="0" w:before="200"/>
      </w:pPr>
    </w:p>
    <w:p>
      <w:pPr>
        <w:pBdr>
          <w:bottom w:val="single" w:color="CCCCCC" w:sz="4" w:space="1"/>
        </w:pBdr>
        <w:spacing w:after="0" w:before="0"/>
      </w:pPr>
    </w:p>
    <w:p>
      <w:pPr>
        <w:spacing w:after="0" w:before="20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The Optimization Problem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Given a fixed cognitive budget C (hours of focused attention per week), the portfolio question becomes:</w:t>
      </w:r>
    </w:p>
    <w:p>
      <w:pPr>
        <w:spacing w:after="0" w:before="8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Maximize:  Σ [ R∞ᵢ + Rᵢ(xᵢ) ]     (total return across all projects)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Subject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Σ xᵢ  ≤  C                        (cognitive budget constraint)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xᵢ  ≥  CCCᵢ  for all active i     (floor constraint — every project must be funded)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xᵢ  ≥  Tᵢ  or  xᵢ = 0            (threshold rule — don't fund below activation)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threshold rule is the brutal insight: a project funded above CCC but below T is consuming resources and producing nearly nothing. It belongs in the portfolio at full activation or not at all.</w:t>
      </w:r>
    </w:p>
    <w:p>
      <w:pPr>
        <w:spacing w:after="0"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E94560"/>
          <w:spacing w:val="80"/>
          <w:sz w:val="16"/>
          <w:szCs w:val="16"/>
        </w:rPr>
        <w:t xml:space="preserve">Parameter Reference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Symbol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captures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Cognitive budget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Total focused attention available per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CCCᵢ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Carrying cost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Minimum investment to keep project i productive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Tᵢ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Activation threshold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Investment level where return on project i becomes meaningful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Lᵢ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Leverage factor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0 = pure reverse annuity; 1 = fully autonomous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R∞ᵢ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Autonomous return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Ongoing return from the fire-and-forget component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Rᵢ(x)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Return curve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Return as a function of ongoing cognitive investment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xᵢ</w:t>
            </w:r>
          </w:p>
        </w:tc>
        <w:tc>
          <w:tcPr>
            <w:tcW w:type="dxa" w:w="220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Allocation</w:t>
            </w:r>
          </w:p>
        </w:tc>
        <w:tc>
          <w:tcPr>
            <w:tcW w:type="dxa" w:w="5160"/>
            <w:tcBorders>
              <w:top w:val="single" w:color="CCCCCC" w:sz="1"/>
              <w:left w:val="none"/>
              <w:bottom w:val="single" w:color="CCCCCC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66"/>
                <w:sz w:val="18"/>
                <w:szCs w:val="18"/>
              </w:rPr>
              <w:t xml:space="preserve">Actual cognitive investment assigned to project i</w:t>
            </w:r>
          </w:p>
        </w:tc>
      </w:tr>
    </w:tbl>
    <w:p>
      <w:pPr>
        <w:spacing w:after="0" w:before="240"/>
      </w:pPr>
    </w:p>
    <w:p>
      <w:pPr>
        <w:pBdr>
          <w:bottom w:val="single" w:color="1A1A2E" w:sz="10" w:space="1"/>
        </w:pBdr>
        <w:spacing w:after="0" w:before="0"/>
      </w:pPr>
    </w:p>
    <w:p>
      <w:pPr>
        <w:spacing w:after="0" w:before="120"/>
        <w:jc w:val="right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Cognitive Leverage  ·  Economics Model  · 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2026-04-15T12:06:53.692Z</dcterms:created>
  <dcterms:modified xsi:type="dcterms:W3CDTF">2026-04-15T12:06:53.693Z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