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A2E"/>
          <w:sz w:val="56"/>
          <w:szCs w:val="56"/>
        </w:rPr>
        <w:t xml:space="preserve">COGNITIVE LEVERAGE</w:t>
      </w:r>
    </w:p>
    <w:p>
      <w:pPr>
        <w:spacing w:after="200" w:before="0"/>
      </w:pPr>
      <w:r>
        <w:rPr>
          <w:rFonts w:ascii="Arial" w:cs="Arial" w:eastAsia="Arial" w:hAnsi="Arial"/>
          <w:i/>
          <w:iCs/>
          <w:color w:val="666666"/>
          <w:sz w:val="22"/>
          <w:szCs w:val="22"/>
        </w:rPr>
        <w:t xml:space="preserve">The category above orchestration — and the opportunity to own it</w:t>
      </w:r>
    </w:p>
    <w:p>
      <w:pPr>
        <w:pBdr>
          <w:bottom w:val="single" w:color="E94560" w:sz="16" w:space="1"/>
        </w:pBdr>
        <w:spacing w:after="0" w:before="0"/>
      </w:pPr>
    </w:p>
    <w:p>
      <w:pPr>
        <w:spacing w:after="0" w:before="200"/>
      </w:pPr>
    </w:p>
    <w:p>
      <w:pPr>
        <w:spacing w:after="60" w:before="180"/>
      </w:pPr>
      <w:r>
        <w:rPr>
          <w:rFonts w:ascii="Arial" w:cs="Arial" w:eastAsia="Arial" w:hAnsi="Arial"/>
          <w:b/>
          <w:bCs/>
          <w:caps/>
          <w:color w:val="E94560"/>
          <w:spacing w:val="80"/>
          <w:sz w:val="16"/>
          <w:szCs w:val="16"/>
        </w:rPr>
        <w:t xml:space="preserve">The Shift</w:t>
      </w:r>
    </w:p>
    <w:p>
      <w:pPr>
        <w:spacing w:after="60" w:before="60"/>
      </w:pPr>
      <w:r>
        <w:rPr>
          <w:rFonts w:ascii="Arial" w:cs="Arial" w:eastAsia="Arial" w:hAnsi="Arial"/>
          <w:color w:val="333333"/>
          <w:sz w:val="20"/>
          <w:szCs w:val="20"/>
        </w:rPr>
        <w:t xml:space="preserve">2026 was the year of orchestration. AI made spinning up capable, autonomous agent systems fast and cheap. The transaction cost of starting a new delegation relationship collapsed to near zero. The economics of driving that relationship dropped to a fraction of what they were.</w:t>
      </w:r>
    </w:p>
    <w:p>
      <w:pPr>
        <w:spacing w:after="0" w:before="80"/>
      </w:pPr>
    </w:p>
    <w:p>
      <w:pPr>
        <w:spacing w:after="60" w:before="60"/>
      </w:pPr>
      <w:r>
        <w:rPr>
          <w:rFonts w:ascii="Arial" w:cs="Arial" w:eastAsia="Arial" w:hAnsi="Arial"/>
          <w:color w:val="333333"/>
          <w:sz w:val="20"/>
          <w:szCs w:val="20"/>
        </w:rPr>
        <w:t xml:space="preserve">Those two forces together revealed something nobody had a word for yet.</w:t>
      </w:r>
    </w:p>
    <w:p>
      <w:pPr>
        <w:spacing w:after="0" w:before="200"/>
      </w:pPr>
    </w:p>
    <w:p>
      <w:pPr>
        <w:spacing w:after="60" w:before="180"/>
      </w:pPr>
      <w:r>
        <w:rPr>
          <w:rFonts w:ascii="Arial" w:cs="Arial" w:eastAsia="Arial" w:hAnsi="Arial"/>
          <w:b/>
          <w:bCs/>
          <w:caps/>
          <w:color w:val="E94560"/>
          <w:spacing w:val="80"/>
          <w:sz w:val="16"/>
          <w:szCs w:val="16"/>
        </w:rPr>
        <w:t xml:space="preserve">The New Bottleneck</w:t>
      </w:r>
    </w:p>
    <w:p>
      <w:pPr>
        <w:spacing w:after="60" w:before="60"/>
      </w:pPr>
      <w:r>
        <w:rPr>
          <w:rFonts w:ascii="Arial" w:cs="Arial" w:eastAsia="Arial" w:hAnsi="Arial"/>
          <w:color w:val="333333"/>
          <w:sz w:val="20"/>
          <w:szCs w:val="20"/>
        </w:rPr>
        <w:t xml:space="preserve">Portfolios will expand until they hit the only remaining constraint: the cognitive capacity of the human directing them.</w:t>
      </w:r>
    </w:p>
    <w:p>
      <w:pPr>
        <w:spacing w:after="0" w:before="80"/>
      </w:pPr>
    </w:p>
    <w:p>
      <w:pPr>
        <w:spacing w:after="60" w:before="60"/>
      </w:pPr>
      <w:r>
        <w:rPr>
          <w:rFonts w:ascii="Arial" w:cs="Arial" w:eastAsia="Arial" w:hAnsi="Arial"/>
          <w:b w:val="false"/>
          <w:bCs w:val="false"/>
          <w:color w:val="333333"/>
          <w:sz w:val="20"/>
          <w:szCs w:val="20"/>
        </w:rPr>
        <w:t xml:space="preserve">Not access to agents. Not cost of execution. You. Your ability to direct, absorb, scan, and steer across an expanding set of workstreams simultaneously. This has always been a constraint — but it was never the </w:t>
      </w:r>
    </w:p>
    <w:p>
      <w:pPr>
        <w:spacing w:after="0" w:before="0"/>
      </w:pPr>
    </w:p>
    <w:p>
      <w:pPr>
        <w:spacing w:after="80" w:before="0"/>
      </w:pPr>
      <w:r>
        <w:rPr>
          <w:rFonts w:ascii="Arial" w:cs="Arial" w:eastAsia="Arial" w:hAnsi="Arial"/>
          <w:color w:val="333333"/>
          <w:sz w:val="20"/>
          <w:szCs w:val="20"/>
        </w:rPr>
        <w:t xml:space="preserve">Not access to agents. Not cost of execution. </w:t>
      </w:r>
      <w:r>
        <w:rPr>
          <w:rFonts w:ascii="Arial" w:cs="Arial" w:eastAsia="Arial" w:hAnsi="Arial"/>
          <w:b/>
          <w:bCs/>
          <w:color w:val="333333"/>
          <w:sz w:val="20"/>
          <w:szCs w:val="20"/>
        </w:rPr>
        <w:t xml:space="preserve">You.</w:t>
      </w:r>
      <w:r>
        <w:rPr>
          <w:rFonts w:ascii="Arial" w:cs="Arial" w:eastAsia="Arial" w:hAnsi="Arial"/>
          <w:color w:val="333333"/>
          <w:sz w:val="20"/>
          <w:szCs w:val="20"/>
        </w:rPr>
        <w:t xml:space="preserve"> Your ability to direct, absorb, scan, and steer across an expanding set of workstreams simultaneously. This has always been a constraint — but it was never the </w:t>
      </w:r>
      <w:r>
        <w:rPr>
          <w:rFonts w:ascii="Arial" w:cs="Arial" w:eastAsia="Arial" w:hAnsi="Arial"/>
          <w:i/>
          <w:iCs/>
          <w:color w:val="333333"/>
          <w:sz w:val="20"/>
          <w:szCs w:val="20"/>
        </w:rPr>
        <w:t xml:space="preserve">binding</w:t>
      </w:r>
      <w:r>
        <w:rPr>
          <w:rFonts w:ascii="Arial" w:cs="Arial" w:eastAsia="Arial" w:hAnsi="Arial"/>
          <w:color w:val="333333"/>
          <w:sz w:val="20"/>
          <w:szCs w:val="20"/>
        </w:rPr>
        <w:t xml:space="preserve"> constraint before. Now it is.</w:t>
      </w:r>
    </w:p>
    <w:p>
      <w:pPr>
        <w:spacing w:after="0" w:before="200"/>
      </w:pPr>
    </w:p>
    <w:p>
      <w:pPr>
        <w:pBdr>
          <w:bottom w:val="single" w:color="CCCCCC" w:sz="4" w:space="1"/>
        </w:pBdr>
        <w:spacing w:after="0" w:before="0"/>
      </w:pPr>
    </w:p>
    <w:p>
      <w:pPr>
        <w:spacing w:after="0" w:before="200"/>
      </w:pPr>
    </w:p>
    <w:tbl>
      <w:tblPr>
        <w:tblW w:type="dxa" w:w="9360"/>
        <w:tblBorders>
          <w:top w:val="none"/>
          <w:left w:val="none"/>
          <w:bottom w:val="none"/>
          <w:right w:val="none"/>
          <w:insideH w:val="single" w:color="auto" w:sz="4"/>
          <w:insideV w:val="single" w:color="auto" w:sz="4"/>
        </w:tblBorders>
      </w:tblPr>
      <w:tblGrid>
        <w:gridCol w:w="4500"/>
        <w:gridCol w:w="4500"/>
      </w:tblGrid>
      <w:tr>
        <w:tc>
          <w:tcPr>
            <w:tcW w:type="dxa" w:w="4500"/>
            <w:tcBorders>
              <w:top w:val="none"/>
              <w:left w:val="none"/>
              <w:bottom w:val="none"/>
              <w:right w:val="none"/>
            </w:tcBorders>
            <w:tcMar>
              <w:top w:type="dxa" w:w="80"/>
              <w:left w:type="dxa" w:w="0"/>
              <w:bottom w:type="dxa" w:w="80"/>
              <w:right w:type="dxa" w:w="240"/>
            </w:tcMar>
            <w:vAlign w:val="top"/>
          </w:tcPr>
          <w:p>
            <w:pPr>
              <w:spacing w:after="80" w:before="0"/>
            </w:pPr>
            <w:r>
              <w:rPr>
                <w:rFonts w:ascii="Arial" w:cs="Arial" w:eastAsia="Arial" w:hAnsi="Arial"/>
                <w:b/>
                <w:bCs/>
                <w:caps/>
                <w:color w:val="E94560"/>
                <w:spacing w:val="80"/>
                <w:sz w:val="16"/>
                <w:szCs w:val="16"/>
              </w:rPr>
              <w:t xml:space="preserve">WHAT IT IS</w:t>
            </w:r>
          </w:p>
          <w:p>
            <w:pPr>
              <w:spacing w:after="100" w:before="0"/>
            </w:pPr>
            <w:r>
              <w:rPr>
                <w:rFonts w:ascii="Arial" w:cs="Arial" w:eastAsia="Arial" w:hAnsi="Arial"/>
                <w:color w:val="333333"/>
                <w:sz w:val="20"/>
                <w:szCs w:val="20"/>
              </w:rPr>
              <w:t xml:space="preserve">Cognitive Leverage is the ratio of output generated to cognitive capital invested. In a world of infinite cheap agents, this becomes the primary competitive variable for every knowledge worker, operator, and entrepreneur.</w:t>
            </w:r>
          </w:p>
          <w:p>
            <w:pPr>
              <w:spacing w:after="60" w:before="100"/>
            </w:pPr>
            <w:r>
              <w:rPr>
                <w:rFonts w:ascii="Arial" w:cs="Arial" w:eastAsia="Arial" w:hAnsi="Arial"/>
                <w:color w:val="333333"/>
                <w:sz w:val="20"/>
                <w:szCs w:val="20"/>
              </w:rPr>
              <w:t xml:space="preserve">The person who can run ten high-output workstreams on the same cognitive budget someone else uses to run two doesn't win because they're smarter. They win because they're better at </w:t>
            </w:r>
            <w:r>
              <w:rPr>
                <w:rFonts w:ascii="Arial" w:cs="Arial" w:eastAsia="Arial" w:hAnsi="Arial"/>
                <w:i/>
                <w:iCs/>
                <w:color w:val="333333"/>
                <w:sz w:val="20"/>
                <w:szCs w:val="20"/>
              </w:rPr>
              <w:t xml:space="preserve">this specific skill.</w:t>
            </w:r>
          </w:p>
        </w:tc>
        <w:tc>
          <w:tcPr>
            <w:tcW w:type="dxa" w:w="4500"/>
            <w:tcBorders>
              <w:top w:val="none"/>
              <w:left w:val="single" w:color="DDDDDD" w:sz="4"/>
              <w:bottom w:val="none"/>
              <w:right w:val="none"/>
            </w:tcBorders>
            <w:tcMar>
              <w:top w:type="dxa" w:w="80"/>
              <w:left w:type="dxa" w:w="240"/>
              <w:bottom w:type="dxa" w:w="80"/>
              <w:right w:type="dxa" w:w="0"/>
            </w:tcMar>
            <w:vAlign w:val="top"/>
          </w:tcPr>
          <w:p>
            <w:pPr>
              <w:spacing w:after="80" w:before="0"/>
            </w:pPr>
            <w:r>
              <w:rPr>
                <w:rFonts w:ascii="Arial" w:cs="Arial" w:eastAsia="Arial" w:hAnsi="Arial"/>
                <w:b/>
                <w:bCs/>
                <w:caps/>
                <w:color w:val="E94560"/>
                <w:spacing w:val="80"/>
                <w:sz w:val="16"/>
                <w:szCs w:val="16"/>
              </w:rPr>
              <w:t xml:space="preserve">WHAT THE MARKET NEEDS</w:t>
            </w:r>
          </w:p>
          <w:p>
            <w:pPr>
              <w:spacing w:after="80" w:before="0"/>
            </w:pPr>
            <w:r>
              <w:rPr>
                <w:rFonts w:ascii="Arial" w:cs="Arial" w:eastAsia="Arial" w:hAnsi="Arial"/>
                <w:color w:val="333333"/>
                <w:sz w:val="20"/>
                <w:szCs w:val="20"/>
              </w:rPr>
              <w:t xml:space="preserve">Nobody is answering these questions yet:</w:t>
            </w:r>
          </w:p>
          <w:p>
            <w:pPr>
              <w:pStyle w:val="ListParagraph"/>
              <w:numPr>
                <w:ilvl w:val="0"/>
                <w:numId w:val="2"/>
              </w:numPr>
              <w:spacing w:after="40" w:before="40"/>
            </w:pPr>
            <w:r>
              <w:rPr>
                <w:rFonts w:ascii="Arial" w:cs="Arial" w:eastAsia="Arial" w:hAnsi="Arial"/>
                <w:color w:val="333333"/>
                <w:sz w:val="20"/>
                <w:szCs w:val="20"/>
              </w:rPr>
              <w:t xml:space="preserve">What does high cognitive leverage look like — who has it, what do they do differently?</w:t>
            </w:r>
          </w:p>
          <w:p>
            <w:pPr>
              <w:pStyle w:val="ListParagraph"/>
              <w:numPr>
                <w:ilvl w:val="0"/>
                <w:numId w:val="2"/>
              </w:numPr>
              <w:spacing w:after="40" w:before="40"/>
            </w:pPr>
            <w:r>
              <w:rPr>
                <w:rFonts w:ascii="Arial" w:cs="Arial" w:eastAsia="Arial" w:hAnsi="Arial"/>
                <w:color w:val="333333"/>
                <w:sz w:val="20"/>
                <w:szCs w:val="20"/>
              </w:rPr>
              <w:t xml:space="preserve">How do I measure mine — is there a framework, a diagnostic?</w:t>
            </w:r>
          </w:p>
          <w:p>
            <w:pPr>
              <w:pStyle w:val="ListParagraph"/>
              <w:numPr>
                <w:ilvl w:val="0"/>
                <w:numId w:val="2"/>
              </w:numPr>
              <w:spacing w:after="40" w:before="40"/>
            </w:pPr>
            <w:r>
              <w:rPr>
                <w:rFonts w:ascii="Arial" w:cs="Arial" w:eastAsia="Arial" w:hAnsi="Arial"/>
                <w:color w:val="333333"/>
                <w:sz w:val="20"/>
                <w:szCs w:val="20"/>
              </w:rPr>
              <w:t xml:space="preserve">How do I improve it — methodology, practice, tooling?</w:t>
            </w:r>
          </w:p>
          <w:p>
            <w:pPr>
              <w:pStyle w:val="ListParagraph"/>
              <w:numPr>
                <w:ilvl w:val="0"/>
                <w:numId w:val="2"/>
              </w:numPr>
              <w:spacing w:after="40" w:before="40"/>
            </w:pPr>
            <w:r>
              <w:rPr>
                <w:rFonts w:ascii="Arial" w:cs="Arial" w:eastAsia="Arial" w:hAnsi="Arial"/>
                <w:color w:val="333333"/>
                <w:sz w:val="20"/>
                <w:szCs w:val="20"/>
              </w:rPr>
              <w:t xml:space="preserve">What does a high-leverage portfolio look like vs. a bloated one?</w:t>
            </w:r>
          </w:p>
        </w:tc>
      </w:tr>
    </w:tbl>
    <w:p>
      <w:pPr>
        <w:spacing w:after="0" w:before="240"/>
      </w:pPr>
    </w:p>
    <w:p>
      <w:pPr>
        <w:pBdr>
          <w:bottom w:val="single" w:color="CCCCCC" w:sz="4" w:space="1"/>
        </w:pBdr>
        <w:spacing w:after="0" w:before="0"/>
      </w:pPr>
    </w:p>
    <w:p>
      <w:pPr>
        <w:spacing w:after="0" w:before="200"/>
      </w:pPr>
    </w:p>
    <w:p>
      <w:pPr>
        <w:spacing w:after="60" w:before="180"/>
      </w:pPr>
      <w:r>
        <w:rPr>
          <w:rFonts w:ascii="Arial" w:cs="Arial" w:eastAsia="Arial" w:hAnsi="Arial"/>
          <w:b/>
          <w:bCs/>
          <w:caps/>
          <w:color w:val="E94560"/>
          <w:spacing w:val="80"/>
          <w:sz w:val="16"/>
          <w:szCs w:val="16"/>
        </w:rPr>
        <w:t xml:space="preserve">The Skills That Matter</w:t>
      </w:r>
    </w:p>
    <w:tbl>
      <w:tblPr>
        <w:tblW w:type="dxa" w:w="9360"/>
        <w:tblBorders>
          <w:top w:val="none"/>
          <w:left w:val="none"/>
          <w:bottom w:val="none"/>
          <w:right w:val="none"/>
          <w:insideH w:val="single" w:color="auto" w:sz="4"/>
          <w:insideV w:val="single" w:color="auto" w:sz="4"/>
        </w:tblBorders>
      </w:tblPr>
      <w:tblGrid>
        <w:gridCol w:w="4500"/>
        <w:gridCol w:w="4500"/>
      </w:tblGrid>
      <w:tr>
        <w:tc>
          <w:tcPr>
            <w:tcW w:type="dxa" w:w="4500"/>
            <w:tcBorders>
              <w:top w:val="none"/>
              <w:left w:val="none"/>
              <w:bottom w:val="none"/>
              <w:right w:val="none"/>
            </w:tcBorders>
            <w:tcMar>
              <w:top w:type="dxa" w:w="80"/>
              <w:left w:type="dxa" w:w="0"/>
              <w:bottom w:type="dxa" w:w="80"/>
              <w:right w:type="dxa" w:w="240"/>
            </w:tcMar>
            <w:vAlign w:val="top"/>
          </w:tcPr>
          <w:p>
            <w:pPr>
              <w:pStyle w:val="ListParagraph"/>
              <w:numPr>
                <w:ilvl w:val="0"/>
                <w:numId w:val="2"/>
              </w:numPr>
              <w:spacing w:after="40" w:before="40"/>
            </w:pPr>
            <w:r>
              <w:rPr>
                <w:rFonts w:ascii="Arial" w:cs="Arial" w:eastAsia="Arial" w:hAnsi="Arial"/>
                <w:color w:val="333333"/>
                <w:sz w:val="20"/>
                <w:szCs w:val="20"/>
              </w:rPr>
              <w:t xml:space="preserve">Knowing which projects deserve deep investment vs. activation-level presence</w:t>
            </w:r>
          </w:p>
          <w:p>
            <w:pPr>
              <w:pStyle w:val="ListParagraph"/>
              <w:numPr>
                <w:ilvl w:val="0"/>
                <w:numId w:val="2"/>
              </w:numPr>
              <w:spacing w:after="40" w:before="40"/>
            </w:pPr>
            <w:r>
              <w:rPr>
                <w:rFonts w:ascii="Arial" w:cs="Arial" w:eastAsia="Arial" w:hAnsi="Arial"/>
                <w:color w:val="333333"/>
                <w:sz w:val="20"/>
                <w:szCs w:val="20"/>
              </w:rPr>
              <w:t xml:space="preserve">Minimizing outbound specification cost through discipline and tooling</w:t>
            </w:r>
          </w:p>
          <w:p>
            <w:pPr>
              <w:pStyle w:val="ListParagraph"/>
              <w:numPr>
                <w:ilvl w:val="0"/>
                <w:numId w:val="2"/>
              </w:numPr>
              <w:spacing w:after="40" w:before="40"/>
            </w:pPr>
            <w:r>
              <w:rPr>
                <w:rFonts w:ascii="Arial" w:cs="Arial" w:eastAsia="Arial" w:hAnsi="Arial"/>
                <w:color w:val="333333"/>
                <w:sz w:val="20"/>
                <w:szCs w:val="20"/>
              </w:rPr>
              <w:t xml:space="preserve">Maximizing intake efficiency — absorbing what matters, filtering what doesn't</w:t>
            </w:r>
          </w:p>
        </w:tc>
        <w:tc>
          <w:tcPr>
            <w:tcW w:type="dxa" w:w="4500"/>
            <w:tcBorders>
              <w:top w:val="none"/>
              <w:left w:val="single" w:color="DDDDDD" w:sz="4"/>
              <w:bottom w:val="none"/>
              <w:right w:val="none"/>
            </w:tcBorders>
            <w:tcMar>
              <w:top w:type="dxa" w:w="80"/>
              <w:left w:type="dxa" w:w="240"/>
              <w:bottom w:type="dxa" w:w="80"/>
              <w:right w:type="dxa" w:w="0"/>
            </w:tcMar>
            <w:vAlign w:val="top"/>
          </w:tcPr>
          <w:p>
            <w:pPr>
              <w:pStyle w:val="ListParagraph"/>
              <w:numPr>
                <w:ilvl w:val="0"/>
                <w:numId w:val="2"/>
              </w:numPr>
              <w:spacing w:after="40" w:before="40"/>
            </w:pPr>
            <w:r>
              <w:rPr>
                <w:rFonts w:ascii="Arial" w:cs="Arial" w:eastAsia="Arial" w:hAnsi="Arial"/>
                <w:color w:val="333333"/>
                <w:sz w:val="20"/>
                <w:szCs w:val="20"/>
              </w:rPr>
              <w:t xml:space="preserve">Horizon-scanning across a portfolio simultaneously without losing depth</w:t>
            </w:r>
          </w:p>
          <w:p>
            <w:pPr>
              <w:pStyle w:val="ListParagraph"/>
              <w:numPr>
                <w:ilvl w:val="0"/>
                <w:numId w:val="2"/>
              </w:numPr>
              <w:spacing w:after="40" w:before="40"/>
            </w:pPr>
            <w:r>
              <w:rPr>
                <w:rFonts w:ascii="Arial" w:cs="Arial" w:eastAsia="Arial" w:hAnsi="Arial"/>
                <w:color w:val="333333"/>
                <w:sz w:val="20"/>
                <w:szCs w:val="20"/>
              </w:rPr>
              <w:t xml:space="preserve">Knowing when to engineer a project toward autonomy vs. stay in the loop</w:t>
            </w:r>
          </w:p>
          <w:p>
            <w:pPr>
              <w:pStyle w:val="ListParagraph"/>
              <w:numPr>
                <w:ilvl w:val="0"/>
                <w:numId w:val="2"/>
              </w:numPr>
              <w:spacing w:after="40" w:before="40"/>
            </w:pPr>
            <w:r>
              <w:rPr>
                <w:rFonts w:ascii="Arial" w:cs="Arial" w:eastAsia="Arial" w:hAnsi="Arial"/>
                <w:color w:val="333333"/>
                <w:sz w:val="20"/>
                <w:szCs w:val="20"/>
              </w:rPr>
              <w:t xml:space="preserve">Recognizing cognitive carrying cost creep before it silently bankrupts the portfolio</w:t>
            </w:r>
          </w:p>
        </w:tc>
      </w:tr>
    </w:tbl>
    <w:p>
      <w:pPr>
        <w:spacing w:after="0" w:before="240"/>
      </w:pPr>
    </w:p>
    <w:p>
      <w:pPr>
        <w:pBdr>
          <w:bottom w:val="single" w:color="CCCCCC" w:sz="4" w:space="1"/>
        </w:pBdr>
        <w:spacing w:after="0" w:before="0"/>
      </w:pPr>
    </w:p>
    <w:p>
      <w:pPr>
        <w:spacing w:after="0" w:before="200"/>
      </w:pPr>
    </w:p>
    <w:p>
      <w:pPr>
        <w:spacing w:after="60" w:before="180"/>
      </w:pPr>
      <w:r>
        <w:rPr>
          <w:rFonts w:ascii="Arial" w:cs="Arial" w:eastAsia="Arial" w:hAnsi="Arial"/>
          <w:b/>
          <w:bCs/>
          <w:caps/>
          <w:color w:val="E94560"/>
          <w:spacing w:val="80"/>
          <w:sz w:val="16"/>
          <w:szCs w:val="16"/>
        </w:rPr>
        <w:t xml:space="preserve">The Opportunity</w:t>
      </w:r>
    </w:p>
    <w:p>
      <w:pPr>
        <w:spacing w:after="60" w:before="60"/>
      </w:pPr>
      <w:r>
        <w:rPr>
          <w:rFonts w:ascii="Arial" w:cs="Arial" w:eastAsia="Arial" w:hAnsi="Arial"/>
          <w:color w:val="333333"/>
          <w:sz w:val="20"/>
          <w:szCs w:val="20"/>
        </w:rPr>
        <w:t xml:space="preserve">This isn't just a product. It's a </w:t>
      </w:r>
      <w:r>
        <w:rPr>
          <w:rFonts w:ascii="Arial" w:cs="Arial" w:eastAsia="Arial" w:hAnsi="Arial"/>
          <w:b/>
          <w:bCs/>
          <w:color w:val="333333"/>
          <w:sz w:val="20"/>
          <w:szCs w:val="20"/>
        </w:rPr>
        <w:t xml:space="preserve">category creation play.</w:t>
      </w:r>
      <w:r>
        <w:rPr>
          <w:rFonts w:ascii="Arial" w:cs="Arial" w:eastAsia="Arial" w:hAnsi="Arial"/>
          <w:color w:val="333333"/>
          <w:sz w:val="20"/>
          <w:szCs w:val="20"/>
        </w:rPr>
        <w:t xml:space="preserve"> The category doesn't exist yet. The tooling doesn't exist. The vocabulary is just forming.</w:t>
      </w:r>
    </w:p>
    <w:p>
      <w:pPr>
        <w:spacing w:after="60" w:before="60"/>
      </w:pPr>
      <w:r>
        <w:rPr>
          <w:rFonts w:ascii="Arial" w:cs="Arial" w:eastAsia="Arial" w:hAnsi="Arial"/>
          <w:color w:val="333333"/>
          <w:sz w:val="20"/>
          <w:szCs w:val="20"/>
        </w:rPr>
        <w:t xml:space="preserve">The people who feel this most acutely right now are a thin layer of practitioners running serious AI portfolios. In 12–18 months it becomes mainstream. The window to coin the term, own the framework, and be the first coherent voice in this space is open now.</w:t>
      </w:r>
    </w:p>
    <w:p>
      <w:pPr>
        <w:spacing w:after="0" w:before="80"/>
      </w:pPr>
    </w:p>
    <w:p>
      <w:pPr>
        <w:spacing w:after="60" w:before="100"/>
      </w:pPr>
      <w:r>
        <w:rPr>
          <w:rFonts w:ascii="Arial" w:cs="Arial" w:eastAsia="Arial" w:hAnsi="Arial"/>
          <w:b/>
          <w:bCs/>
          <w:color w:val="1A1A2E"/>
          <w:sz w:val="22"/>
          <w:szCs w:val="22"/>
        </w:rPr>
        <w:t xml:space="preserve">Coin the term. Own the framework. Be the first.</w:t>
      </w:r>
    </w:p>
    <w:p>
      <w:pPr>
        <w:spacing w:after="0" w:before="200"/>
      </w:pPr>
    </w:p>
    <w:p>
      <w:pPr>
        <w:pBdr>
          <w:bottom w:val="single" w:color="1A1A2E" w:sz="10" w:space="1"/>
        </w:pBdr>
        <w:spacing w:after="0" w:before="0"/>
      </w:pPr>
    </w:p>
    <w:p>
      <w:pPr>
        <w:spacing w:after="0" w:before="120"/>
        <w:jc w:val="right"/>
      </w:pPr>
      <w:r>
        <w:rPr>
          <w:rFonts w:ascii="Arial" w:cs="Arial" w:eastAsia="Arial" w:hAnsi="Arial"/>
          <w:color w:val="999999"/>
          <w:sz w:val="16"/>
          <w:szCs w:val="16"/>
        </w:rPr>
        <w:t xml:space="preserve">Cognitive Leverage  ·  Early Stage  ·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2026-04-15T12:01:30.257Z</dcterms:created>
  <dcterms:modified xsi:type="dcterms:W3CDTF">2026-04-15T12:01:30.258Z</dcterms:modified>
</cp:coreProperties>
</file>

<file path=docProps/custom.xml><?xml version="1.0" encoding="utf-8"?>
<Properties xmlns="http://schemas.openxmlformats.org/officeDocument/2006/custom-properties" xmlns:vt="http://schemas.openxmlformats.org/officeDocument/2006/docPropsVTypes"/>
</file>