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b/>
          <w:bCs/>
          <w:color w:val="0D1B2A"/>
          <w:sz w:val="56"/>
          <w:szCs w:val="56"/>
        </w:rPr>
        <w:t xml:space="preserve">THE UNIVERSE MODEL</w:t>
      </w:r>
    </w:p>
    <w:p>
      <w:pPr>
        <w:spacing w:after="60" w:before="0"/>
      </w:pPr>
      <w:r>
        <w:rPr>
          <w:rFonts w:ascii="Georgia" w:cs="Georgia" w:eastAsia="Georgia" w:hAnsi="Georgia"/>
          <w:i/>
          <w:iCs/>
          <w:color w:val="4A5568"/>
          <w:sz w:val="21"/>
          <w:szCs w:val="21"/>
        </w:rPr>
        <w:t xml:space="preserve">Infrastructure requirements for cognitive leverage at scale</w:t>
      </w:r>
    </w:p>
    <w:p>
      <w:pPr>
        <w:pBdr>
          <w:bottom w:val="single" w:color="C9973A" w:sz="18" w:space="1"/>
        </w:pBdr>
        <w:spacing w:after="0" w:before="0"/>
      </w:pPr>
    </w:p>
    <w:p>
      <w:pPr>
        <w:spacing w:after="0" w:before="20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D4C5A9" w:sz="1"/>
              <w:left w:val="thick" w:color="C9973A" w:sz="16"/>
              <w:bottom w:val="single" w:color="D4C5A9" w:sz="1"/>
              <w:right w:val="single" w:color="D4C5A9" w:sz="1"/>
            </w:tcBorders>
            <w:shd w:fill="F0EDE6" w:val="clear"/>
            <w:tcMar>
              <w:top w:type="dxa" w:w="160"/>
              <w:left w:type="dxa" w:w="280"/>
              <w:bottom w:type="dxa" w:w="160"/>
              <w:right w:type="dxa" w:w="280"/>
            </w:tcMar>
          </w:tcPr>
          <w:p>
            <w:pPr>
              <w:spacing w:after="0" w:before="0"/>
            </w:pPr>
            <w:r>
              <w:rPr>
                <w:rFonts w:ascii="Georgia" w:cs="Georgia" w:eastAsia="Georgia" w:hAnsi="Georgia"/>
                <w:i/>
                <w:iCs/>
                <w:color w:val="1C2B3A"/>
                <w:sz w:val="20"/>
                <w:szCs w:val="20"/>
              </w:rPr>
              <w:t xml:space="preserve">Your ability to leverage your cognitive capital is a direct function of how completely your universe is systematized — and how AI-friendly that system is. Without it, both situational awareness and optimal action remain out of reach.</w:t>
            </w:r>
          </w:p>
        </w:tc>
      </w:tr>
    </w:tbl>
    <w:p>
      <w:pPr>
        <w:spacing w:after="0" w:before="180"/>
      </w:pPr>
    </w:p>
    <w:p>
      <w:pPr>
        <w:spacing w:after="60" w:before="180"/>
      </w:pPr>
      <w:r>
        <w:rPr>
          <w:rFonts w:ascii="Georgia" w:cs="Georgia" w:eastAsia="Georgia" w:hAnsi="Georgia"/>
          <w:b/>
          <w:bCs/>
          <w:caps/>
          <w:color w:val="C9973A"/>
          <w:spacing w:val="120"/>
          <w:sz w:val="16"/>
          <w:szCs w:val="16"/>
        </w:rPr>
        <w:t xml:space="preserve">The Two Services Everything Must Support</w:t>
      </w:r>
    </w:p>
    <w:tbl>
      <w:tblPr>
        <w:tblW w:type="dxa" w:w="9360"/>
        <w:tblBorders>
          <w:top w:val="none"/>
          <w:left w:val="none"/>
          <w:bottom w:val="none"/>
          <w:right w:val="none"/>
          <w:insideH w:val="single" w:color="auto" w:sz="4"/>
          <w:insideV w:val="single" w:color="auto" w:sz="4"/>
        </w:tblBorders>
      </w:tblPr>
      <w:tblGrid>
        <w:gridCol w:w="4560"/>
        <w:gridCol w:w="4560"/>
      </w:tblGrid>
      <w:tr>
        <w:tc>
          <w:tcPr>
            <w:tcW w:type="dxa" w:w="4560"/>
            <w:tcBorders>
              <w:top w:val="none"/>
              <w:left w:val="none"/>
              <w:bottom w:val="none"/>
              <w:right w:val="none"/>
            </w:tcBorders>
            <w:tcMar>
              <w:top w:type="dxa" w:w="60"/>
              <w:left w:type="dxa" w:w="0"/>
              <w:bottom w:type="dxa" w:w="60"/>
              <w:right w:type="dxa" w:w="280"/>
            </w:tcMar>
            <w:vAlign w:val="top"/>
          </w:tcPr>
          <w:p>
            <w:pPr>
              <w:spacing w:after="40" w:before="120"/>
            </w:pPr>
            <w:r>
              <w:rPr>
                <w:rFonts w:ascii="Georgia" w:cs="Georgia" w:eastAsia="Georgia" w:hAnsi="Georgia"/>
                <w:b/>
                <w:bCs/>
                <w:caps/>
                <w:color w:val="B84A32"/>
                <w:spacing w:val="80"/>
                <w:sz w:val="17"/>
                <w:szCs w:val="17"/>
              </w:rPr>
              <w:t xml:space="preserve">Situational Awareness</w:t>
            </w:r>
          </w:p>
          <w:p>
            <w:pPr>
              <w:spacing w:after="60" w:before="0"/>
            </w:pPr>
            <w:r>
              <w:rPr>
                <w:rFonts w:ascii="Georgia" w:cs="Georgia" w:eastAsia="Georgia" w:hAnsi="Georgia"/>
                <w:color w:val="3D4852"/>
                <w:sz w:val="19"/>
                <w:szCs w:val="19"/>
              </w:rPr>
              <w:t xml:space="preserve">A continuously current model of your full universe — not just your agent fleet, but the environment they're operating in: goals, opportunities, threats, resources, relationships, and environmental signals. Agents are actors within this model, not the model itself.</w:t>
            </w:r>
          </w:p>
        </w:tc>
        <w:tc>
          <w:tcPr>
            <w:tcW w:type="dxa" w:w="4560"/>
            <w:tcBorders>
              <w:top w:val="none"/>
              <w:left w:val="single" w:color="DDDDDD" w:sz="4"/>
              <w:bottom w:val="none"/>
              <w:right w:val="none"/>
            </w:tcBorders>
            <w:tcMar>
              <w:top w:type="dxa" w:w="60"/>
              <w:left w:type="dxa" w:w="280"/>
              <w:bottom w:type="dxa" w:w="60"/>
              <w:right w:type="dxa" w:w="0"/>
            </w:tcMar>
            <w:vAlign w:val="top"/>
          </w:tcPr>
          <w:p>
            <w:pPr>
              <w:spacing w:after="40" w:before="120"/>
            </w:pPr>
            <w:r>
              <w:rPr>
                <w:rFonts w:ascii="Georgia" w:cs="Georgia" w:eastAsia="Georgia" w:hAnsi="Georgia"/>
                <w:b/>
                <w:bCs/>
                <w:caps/>
                <w:color w:val="B84A32"/>
                <w:spacing w:val="80"/>
                <w:sz w:val="17"/>
                <w:szCs w:val="17"/>
              </w:rPr>
              <w:t xml:space="preserve">Optimal Action</w:t>
            </w:r>
          </w:p>
          <w:p>
            <w:pPr>
              <w:spacing w:after="60" w:before="0"/>
            </w:pPr>
            <w:r>
              <w:rPr>
                <w:rFonts w:ascii="Georgia" w:cs="Georgia" w:eastAsia="Georgia" w:hAnsi="Georgia"/>
                <w:color w:val="3D4852"/>
                <w:sz w:val="19"/>
                <w:szCs w:val="19"/>
              </w:rPr>
              <w:t xml:space="preserve">Given that model: the best deployment of your scarce cognitive capital right now. Which agents to spin up. Which to feed more attention. Which to pause. Where you must personally engage versus where you can stay hands-off.</w:t>
            </w:r>
          </w:p>
        </w:tc>
      </w:tr>
    </w:tbl>
    <w:p>
      <w:pPr>
        <w:spacing w:after="0" w:before="200"/>
      </w:pPr>
    </w:p>
    <w:p>
      <w:pPr>
        <w:pBdr>
          <w:bottom w:val="single" w:color="CCCCCC" w:sz="4" w:space="1"/>
        </w:pBdr>
        <w:spacing w:after="0" w:before="0"/>
      </w:pPr>
    </w:p>
    <w:p>
      <w:pPr>
        <w:spacing w:after="0" w:before="200"/>
      </w:pPr>
    </w:p>
    <w:p>
      <w:pPr>
        <w:spacing w:after="60" w:before="180"/>
      </w:pPr>
      <w:r>
        <w:rPr>
          <w:rFonts w:ascii="Georgia" w:cs="Georgia" w:eastAsia="Georgia" w:hAnsi="Georgia"/>
          <w:b/>
          <w:bCs/>
          <w:caps/>
          <w:color w:val="C9973A"/>
          <w:spacing w:val="120"/>
          <w:sz w:val="16"/>
          <w:szCs w:val="16"/>
        </w:rPr>
        <w:t xml:space="preserve">What the Universe Model Must Contain</w:t>
      </w:r>
    </w:p>
    <w:p>
      <w:pPr>
        <w:spacing w:after="60" w:before="60"/>
      </w:pPr>
      <w:r>
        <w:rPr>
          <w:rFonts w:ascii="Georgia" w:cs="Georgia" w:eastAsia="Georgia" w:hAnsi="Georgia"/>
          <w:color w:val="3D4852"/>
          <w:sz w:val="20"/>
          <w:szCs w:val="20"/>
        </w:rPr>
        <w:t xml:space="preserve">This is the foundation everything else sits on. It is harder than it looks — not a project list or a dashboard, but a coherent, machine-readable ontology of your world that can be kept current and reasoned against. It has to hold:</w:t>
      </w:r>
    </w:p>
    <w:p>
      <w:pPr>
        <w:spacing w:after="0" w:before="80"/>
      </w:pPr>
    </w:p>
    <w:tbl>
      <w:tblPr>
        <w:tblW w:type="dxa" w:w="9360"/>
        <w:tblBorders>
          <w:top w:val="none"/>
          <w:left w:val="none"/>
          <w:bottom w:val="none"/>
          <w:right w:val="none"/>
          <w:insideH w:val="single" w:color="auto" w:sz="4"/>
          <w:insideV w:val="single" w:color="auto" w:sz="4"/>
        </w:tblBorders>
      </w:tblPr>
      <w:tblGrid>
        <w:gridCol w:w="4560"/>
        <w:gridCol w:w="4560"/>
      </w:tblGrid>
      <w:tr>
        <w:tc>
          <w:tcPr>
            <w:tcW w:type="dxa" w:w="4560"/>
            <w:tcBorders>
              <w:top w:val="none"/>
              <w:left w:val="none"/>
              <w:bottom w:val="none"/>
              <w:right w:val="none"/>
            </w:tcBorders>
            <w:tcMar>
              <w:top w:type="dxa" w:w="60"/>
              <w:left w:type="dxa" w:w="0"/>
              <w:bottom w:type="dxa" w:w="60"/>
              <w:right w:type="dxa" w:w="280"/>
            </w:tcMar>
            <w:vAlign w:val="top"/>
          </w:tcPr>
          <w:p>
            <w:pPr>
              <w:spacing w:after="40" w:before="120"/>
            </w:pPr>
            <w:r>
              <w:rPr>
                <w:rFonts w:ascii="Georgia" w:cs="Georgia" w:eastAsia="Georgia" w:hAnsi="Georgia"/>
                <w:b/>
                <w:bCs/>
                <w:caps/>
                <w:color w:val="B84A32"/>
                <w:spacing w:val="80"/>
                <w:sz w:val="17"/>
                <w:szCs w:val="17"/>
              </w:rPr>
              <w:t xml:space="preserve">Your Universe</w:t>
            </w:r>
          </w:p>
          <w:p>
            <w:pPr>
              <w:pStyle w:val="ListParagraph"/>
              <w:numPr>
                <w:ilvl w:val="0"/>
                <w:numId w:val="2"/>
              </w:numPr>
              <w:spacing w:after="40" w:before="40"/>
            </w:pPr>
            <w:r>
              <w:rPr>
                <w:rFonts w:ascii="Georgia" w:cs="Georgia" w:eastAsia="Georgia" w:hAnsi="Georgia"/>
                <w:color w:val="3D4852"/>
                <w:sz w:val="19"/>
                <w:szCs w:val="19"/>
              </w:rPr>
              <w:t xml:space="preserve">Goals — from long-horizon to immediate, with relationships between them</w:t>
            </w:r>
          </w:p>
          <w:p>
            <w:pPr>
              <w:pStyle w:val="ListParagraph"/>
              <w:numPr>
                <w:ilvl w:val="0"/>
                <w:numId w:val="2"/>
              </w:numPr>
              <w:spacing w:after="40" w:before="40"/>
            </w:pPr>
            <w:r>
              <w:rPr>
                <w:rFonts w:ascii="Georgia" w:cs="Georgia" w:eastAsia="Georgia" w:hAnsi="Georgia"/>
                <w:color w:val="3D4852"/>
                <w:sz w:val="19"/>
                <w:szCs w:val="19"/>
              </w:rPr>
              <w:t xml:space="preserve">Opportunities — identified but not yet acted on</w:t>
            </w:r>
          </w:p>
          <w:p>
            <w:pPr>
              <w:pStyle w:val="ListParagraph"/>
              <w:numPr>
                <w:ilvl w:val="0"/>
                <w:numId w:val="2"/>
              </w:numPr>
              <w:spacing w:after="40" w:before="40"/>
            </w:pPr>
            <w:r>
              <w:rPr>
                <w:rFonts w:ascii="Georgia" w:cs="Georgia" w:eastAsia="Georgia" w:hAnsi="Georgia"/>
                <w:color w:val="3D4852"/>
                <w:sz w:val="19"/>
                <w:szCs w:val="19"/>
              </w:rPr>
              <w:t xml:space="preserve">Threats — environmental risks, competitive signals, things to monitor</w:t>
            </w:r>
          </w:p>
          <w:p>
            <w:pPr>
              <w:pStyle w:val="ListParagraph"/>
              <w:numPr>
                <w:ilvl w:val="0"/>
                <w:numId w:val="2"/>
              </w:numPr>
              <w:spacing w:after="40" w:before="40"/>
            </w:pPr>
            <w:r>
              <w:rPr>
                <w:rFonts w:ascii="Georgia" w:cs="Georgia" w:eastAsia="Georgia" w:hAnsi="Georgia"/>
                <w:color w:val="3D4852"/>
                <w:sz w:val="19"/>
                <w:szCs w:val="19"/>
              </w:rPr>
              <w:t xml:space="preserve">Resources — people, capital, tools, relationships you can deploy</w:t>
            </w:r>
          </w:p>
          <w:p>
            <w:pPr>
              <w:pStyle w:val="ListParagraph"/>
              <w:numPr>
                <w:ilvl w:val="0"/>
                <w:numId w:val="2"/>
              </w:numPr>
              <w:spacing w:after="40" w:before="40"/>
            </w:pPr>
            <w:r>
              <w:rPr>
                <w:rFonts w:ascii="Georgia" w:cs="Georgia" w:eastAsia="Georgia" w:hAnsi="Georgia"/>
                <w:color w:val="3D4852"/>
                <w:sz w:val="19"/>
                <w:szCs w:val="19"/>
              </w:rPr>
              <w:t xml:space="preserve">Constraints — time, capital, commitments, dependencies</w:t>
            </w:r>
          </w:p>
          <w:p>
            <w:pPr>
              <w:pStyle w:val="ListParagraph"/>
              <w:numPr>
                <w:ilvl w:val="0"/>
                <w:numId w:val="2"/>
              </w:numPr>
              <w:spacing w:after="40" w:before="40"/>
            </w:pPr>
            <w:r>
              <w:rPr>
                <w:rFonts w:ascii="Georgia" w:cs="Georgia" w:eastAsia="Georgia" w:hAnsi="Georgia"/>
                <w:color w:val="3D4852"/>
                <w:sz w:val="19"/>
                <w:szCs w:val="19"/>
              </w:rPr>
              <w:t xml:space="preserve">Environmental state — what's true about the world right now that bears on your decisions</w:t>
            </w:r>
          </w:p>
        </w:tc>
        <w:tc>
          <w:tcPr>
            <w:tcW w:type="dxa" w:w="4560"/>
            <w:tcBorders>
              <w:top w:val="none"/>
              <w:left w:val="single" w:color="DDDDDD" w:sz="4"/>
              <w:bottom w:val="none"/>
              <w:right w:val="none"/>
            </w:tcBorders>
            <w:tcMar>
              <w:top w:type="dxa" w:w="60"/>
              <w:left w:type="dxa" w:w="280"/>
              <w:bottom w:type="dxa" w:w="60"/>
              <w:right w:type="dxa" w:w="0"/>
            </w:tcMar>
            <w:vAlign w:val="top"/>
          </w:tcPr>
          <w:p>
            <w:pPr>
              <w:spacing w:after="40" w:before="120"/>
            </w:pPr>
            <w:r>
              <w:rPr>
                <w:rFonts w:ascii="Georgia" w:cs="Georgia" w:eastAsia="Georgia" w:hAnsi="Georgia"/>
                <w:b/>
                <w:bCs/>
                <w:caps/>
                <w:color w:val="B84A32"/>
                <w:spacing w:val="80"/>
                <w:sz w:val="17"/>
                <w:szCs w:val="17"/>
              </w:rPr>
              <w:t xml:space="preserve">Your Agent Fleet</w:t>
            </w:r>
          </w:p>
          <w:p>
            <w:pPr>
              <w:pStyle w:val="ListParagraph"/>
              <w:numPr>
                <w:ilvl w:val="0"/>
                <w:numId w:val="2"/>
              </w:numPr>
              <w:spacing w:after="40" w:before="40"/>
            </w:pPr>
            <w:r>
              <w:rPr>
                <w:rFonts w:ascii="Georgia" w:cs="Georgia" w:eastAsia="Georgia" w:hAnsi="Georgia"/>
                <w:color w:val="3D4852"/>
                <w:sz w:val="19"/>
                <w:szCs w:val="19"/>
              </w:rPr>
              <w:t xml:space="preserve">Active agents — what each is doing, its current state, its horizon</w:t>
            </w:r>
          </w:p>
          <w:p>
            <w:pPr>
              <w:pStyle w:val="ListParagraph"/>
              <w:numPr>
                <w:ilvl w:val="0"/>
                <w:numId w:val="2"/>
              </w:numPr>
              <w:spacing w:after="40" w:before="40"/>
            </w:pPr>
            <w:r>
              <w:rPr>
                <w:rFonts w:ascii="Georgia" w:cs="Georgia" w:eastAsia="Georgia" w:hAnsi="Georgia"/>
                <w:color w:val="3D4852"/>
                <w:sz w:val="19"/>
                <w:szCs w:val="19"/>
              </w:rPr>
              <w:t xml:space="preserve">Relationships between agents — dependencies, handoffs, shared context</w:t>
            </w:r>
          </w:p>
          <w:p>
            <w:pPr>
              <w:pStyle w:val="ListParagraph"/>
              <w:numPr>
                <w:ilvl w:val="0"/>
                <w:numId w:val="2"/>
              </w:numPr>
              <w:spacing w:after="40" w:before="40"/>
            </w:pPr>
            <w:r>
              <w:rPr>
                <w:rFonts w:ascii="Georgia" w:cs="Georgia" w:eastAsia="Georgia" w:hAnsi="Georgia"/>
                <w:color w:val="3D4852"/>
                <w:sz w:val="19"/>
                <w:szCs w:val="19"/>
              </w:rPr>
              <w:t xml:space="preserve">Relationship to goals — which agent is serving which objective</w:t>
            </w:r>
          </w:p>
          <w:p>
            <w:pPr>
              <w:pStyle w:val="ListParagraph"/>
              <w:numPr>
                <w:ilvl w:val="0"/>
                <w:numId w:val="2"/>
              </w:numPr>
              <w:spacing w:after="40" w:before="40"/>
            </w:pPr>
            <w:r>
              <w:rPr>
                <w:rFonts w:ascii="Georgia" w:cs="Georgia" w:eastAsia="Georgia" w:hAnsi="Georgia"/>
                <w:color w:val="3D4852"/>
                <w:sz w:val="19"/>
                <w:szCs w:val="19"/>
              </w:rPr>
              <w:t xml:space="preserve">Leverage parameter — how autonomous is each, where is it on the L spectrum</w:t>
            </w:r>
          </w:p>
          <w:p>
            <w:pPr>
              <w:pStyle w:val="ListParagraph"/>
              <w:numPr>
                <w:ilvl w:val="0"/>
                <w:numId w:val="2"/>
              </w:numPr>
              <w:spacing w:after="40" w:before="40"/>
            </w:pPr>
            <w:r>
              <w:rPr>
                <w:rFonts w:ascii="Georgia" w:cs="Georgia" w:eastAsia="Georgia" w:hAnsi="Georgia"/>
                <w:color w:val="3D4852"/>
                <w:sz w:val="19"/>
                <w:szCs w:val="19"/>
              </w:rPr>
              <w:t xml:space="preserve">CCC per agent — what it's actually costing in cognitive capital</w:t>
            </w:r>
          </w:p>
          <w:p>
            <w:pPr>
              <w:pStyle w:val="ListParagraph"/>
              <w:numPr>
                <w:ilvl w:val="0"/>
                <w:numId w:val="2"/>
              </w:numPr>
              <w:spacing w:after="40" w:before="40"/>
            </w:pPr>
            <w:r>
              <w:rPr>
                <w:rFonts w:ascii="Georgia" w:cs="Georgia" w:eastAsia="Georgia" w:hAnsi="Georgia"/>
                <w:color w:val="3D4852"/>
                <w:sz w:val="19"/>
                <w:szCs w:val="19"/>
              </w:rPr>
              <w:t xml:space="preserve">Output queue — what has come back and hasn't been fully ingested yet</w:t>
            </w:r>
          </w:p>
        </w:tc>
      </w:tr>
    </w:tbl>
    <w:p>
      <w:pPr>
        <w:spacing w:after="0" w:before="200"/>
      </w:pPr>
    </w:p>
    <w:p>
      <w:pPr>
        <w:pBdr>
          <w:bottom w:val="single" w:color="CCCCCC" w:sz="4" w:space="1"/>
        </w:pBdr>
        <w:spacing w:after="0" w:before="0"/>
      </w:pPr>
    </w:p>
    <w:p>
      <w:pPr>
        <w:spacing w:after="0" w:before="200"/>
      </w:pPr>
    </w:p>
    <w:p>
      <w:pPr>
        <w:spacing w:after="60" w:before="180"/>
      </w:pPr>
      <w:r>
        <w:rPr>
          <w:rFonts w:ascii="Georgia" w:cs="Georgia" w:eastAsia="Georgia" w:hAnsi="Georgia"/>
          <w:b/>
          <w:bCs/>
          <w:caps/>
          <w:color w:val="C9973A"/>
          <w:spacing w:val="120"/>
          <w:sz w:val="16"/>
          <w:szCs w:val="16"/>
        </w:rPr>
        <w:t xml:space="preserve">Critical Success Factors</w:t>
      </w:r>
    </w:p>
    <w:p>
      <w:pPr>
        <w:spacing w:after="60" w:before="60"/>
      </w:pPr>
      <w:r>
        <w:rPr>
          <w:rFonts w:ascii="Georgia" w:cs="Georgia" w:eastAsia="Georgia" w:hAnsi="Georgia"/>
          <w:color w:val="3D4852"/>
          <w:sz w:val="20"/>
          <w:szCs w:val="20"/>
        </w:rPr>
        <w:t xml:space="preserve">Five things the infrastructure must get right. Without each of these, the two top-level services break down.</w:t>
      </w:r>
    </w:p>
    <w:p>
      <w:pPr>
        <w:spacing w:after="0" w:before="12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D1B2A" w:sz="16"/>
              <w:bottom w:val="none"/>
              <w:right w:val="none"/>
            </w:tcBorders>
            <w:shd w:fill="F7F7F9" w:val="clear"/>
            <w:tcMar>
              <w:top w:type="dxa" w:w="160"/>
              <w:left w:type="dxa" w:w="300"/>
              <w:bottom w:type="dxa" w:w="160"/>
              <w:right w:type="dxa" w:w="240"/>
            </w:tcMar>
          </w:tcPr>
          <w:p>
            <w:pPr>
              <w:spacing w:after="40" w:before="0"/>
            </w:pPr>
            <w:r>
              <w:rPr>
                <w:rFonts w:ascii="Georgia" w:cs="Georgia" w:eastAsia="Georgia" w:hAnsi="Georgia"/>
                <w:b/>
                <w:bCs/>
                <w:color w:val="C9973A"/>
                <w:sz w:val="16"/>
                <w:szCs w:val="16"/>
              </w:rPr>
              <w:t xml:space="preserve">01  </w:t>
            </w:r>
            <w:r>
              <w:rPr>
                <w:rFonts w:ascii="Georgia" w:cs="Georgia" w:eastAsia="Georgia" w:hAnsi="Georgia"/>
                <w:b/>
                <w:bCs/>
                <w:color w:val="0D1B2A"/>
                <w:sz w:val="22"/>
                <w:szCs w:val="22"/>
              </w:rPr>
              <w:t xml:space="preserve">Ontology that AI can engage with</w:t>
            </w:r>
            <w:r>
              <w:rPr>
                <w:rFonts w:ascii="Georgia" w:cs="Georgia" w:eastAsia="Georgia" w:hAnsi="Georgia"/>
                <w:i/>
                <w:iCs/>
                <w:color w:val="4A5568"/>
                <w:sz w:val="18"/>
                <w:szCs w:val="18"/>
              </w:rPr>
              <w:t xml:space="preserve">  —  Machine-readable world model</w:t>
            </w:r>
          </w:p>
          <w:p>
            <w:pPr>
              <w:spacing w:after="0" w:before="0"/>
            </w:pPr>
            <w:r>
              <w:rPr>
                <w:rFonts w:ascii="Georgia" w:cs="Georgia" w:eastAsia="Georgia" w:hAnsi="Georgia"/>
                <w:color w:val="3D4852"/>
                <w:sz w:val="19"/>
                <w:szCs w:val="19"/>
              </w:rPr>
              <w:t xml:space="preserve">The universe model only delivers value if agents can actually read it, reason against it, and update it. A document is not enough. The model has to be structured, queryable, and injectable into agent context at launch and on re-engagement. This is the hardest problem — knowledge representation at a level of richness that matches how you actually think about your world.</w:t>
            </w:r>
          </w:p>
        </w:tc>
      </w:tr>
    </w:tbl>
    <w:p>
      <w:pPr>
        <w:spacing w:after="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B84A32" w:sz="16"/>
              <w:bottom w:val="none"/>
              <w:right w:val="none"/>
            </w:tcBorders>
            <w:shd w:fill="F7F7F9" w:val="clear"/>
            <w:tcMar>
              <w:top w:type="dxa" w:w="160"/>
              <w:left w:type="dxa" w:w="300"/>
              <w:bottom w:type="dxa" w:w="160"/>
              <w:right w:type="dxa" w:w="240"/>
            </w:tcMar>
          </w:tcPr>
          <w:p>
            <w:pPr>
              <w:spacing w:after="40" w:before="0"/>
            </w:pPr>
            <w:r>
              <w:rPr>
                <w:rFonts w:ascii="Georgia" w:cs="Georgia" w:eastAsia="Georgia" w:hAnsi="Georgia"/>
                <w:b/>
                <w:bCs/>
                <w:color w:val="C9973A"/>
                <w:sz w:val="16"/>
                <w:szCs w:val="16"/>
              </w:rPr>
              <w:t xml:space="preserve">02  </w:t>
            </w:r>
            <w:r>
              <w:rPr>
                <w:rFonts w:ascii="Georgia" w:cs="Georgia" w:eastAsia="Georgia" w:hAnsi="Georgia"/>
                <w:b/>
                <w:bCs/>
                <w:color w:val="0D1B2A"/>
                <w:sz w:val="22"/>
                <w:szCs w:val="22"/>
              </w:rPr>
              <w:t xml:space="preserve">Continuous currency</w:t>
            </w:r>
            <w:r>
              <w:rPr>
                <w:rFonts w:ascii="Georgia" w:cs="Georgia" w:eastAsia="Georgia" w:hAnsi="Georgia"/>
                <w:i/>
                <w:iCs/>
                <w:color w:val="4A5568"/>
                <w:sz w:val="18"/>
                <w:szCs w:val="18"/>
              </w:rPr>
              <w:t xml:space="preserve">  —  The model stays current without you tending it</w:t>
            </w:r>
          </w:p>
          <w:p>
            <w:pPr>
              <w:spacing w:after="0" w:before="0"/>
            </w:pPr>
            <w:r>
              <w:rPr>
                <w:rFonts w:ascii="Georgia" w:cs="Georgia" w:eastAsia="Georgia" w:hAnsi="Georgia"/>
                <w:color w:val="3D4852"/>
                <w:sz w:val="19"/>
                <w:szCs w:val="19"/>
              </w:rPr>
              <w:t xml:space="preserve">A stale universe model is worse than no model — it generates false confidence. The infrastructure has to be mostly self-maintaining: agent outputs automatically ingested, state changes propagated, environmental signals pulled in. The human cognitive load to keep the model current has to approach zero. If it requires manual tending, it won't survive contact with a real workload.</w:t>
            </w:r>
          </w:p>
        </w:tc>
      </w:tr>
    </w:tbl>
    <w:p>
      <w:pPr>
        <w:spacing w:after="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D1B2A" w:sz="16"/>
              <w:bottom w:val="none"/>
              <w:right w:val="none"/>
            </w:tcBorders>
            <w:shd w:fill="F7F7F9" w:val="clear"/>
            <w:tcMar>
              <w:top w:type="dxa" w:w="160"/>
              <w:left w:type="dxa" w:w="300"/>
              <w:bottom w:type="dxa" w:w="160"/>
              <w:right w:type="dxa" w:w="240"/>
            </w:tcMar>
          </w:tcPr>
          <w:p>
            <w:pPr>
              <w:spacing w:after="40" w:before="0"/>
            </w:pPr>
            <w:r>
              <w:rPr>
                <w:rFonts w:ascii="Georgia" w:cs="Georgia" w:eastAsia="Georgia" w:hAnsi="Georgia"/>
                <w:b/>
                <w:bCs/>
                <w:color w:val="C9973A"/>
                <w:sz w:val="16"/>
                <w:szCs w:val="16"/>
              </w:rPr>
              <w:t xml:space="preserve">03  </w:t>
            </w:r>
            <w:r>
              <w:rPr>
                <w:rFonts w:ascii="Georgia" w:cs="Georgia" w:eastAsia="Georgia" w:hAnsi="Georgia"/>
                <w:b/>
                <w:bCs/>
                <w:color w:val="0D1B2A"/>
                <w:sz w:val="22"/>
                <w:szCs w:val="22"/>
              </w:rPr>
              <w:t xml:space="preserve">Signal extraction from agent output</w:t>
            </w:r>
            <w:r>
              <w:rPr>
                <w:rFonts w:ascii="Georgia" w:cs="Georgia" w:eastAsia="Georgia" w:hAnsi="Georgia"/>
                <w:i/>
                <w:iCs/>
                <w:color w:val="4A5568"/>
                <w:sz w:val="18"/>
                <w:szCs w:val="18"/>
              </w:rPr>
              <w:t xml:space="preserve">  —  Inbound pipe surfaces what's decision-relevant</w:t>
            </w:r>
          </w:p>
          <w:p>
            <w:pPr>
              <w:spacing w:after="0" w:before="0"/>
            </w:pPr>
            <w:r>
              <w:rPr>
                <w:rFonts w:ascii="Georgia" w:cs="Georgia" w:eastAsia="Georgia" w:hAnsi="Georgia"/>
                <w:color w:val="3D4852"/>
                <w:sz w:val="19"/>
                <w:szCs w:val="19"/>
              </w:rPr>
              <w:t xml:space="preserve">What comes back from agents is not just work product. It's evidence — discoveries, state changes, forks, surprises. The infrastructure has to extract what's decision-relevant and surface it in a form that can be absorbed quickly. Raw output is overwhelming. Filtered, prioritized signal is actionable. This is where intake cost either gets managed or spirals.</w:t>
            </w:r>
          </w:p>
        </w:tc>
      </w:tr>
    </w:tbl>
    <w:p>
      <w:pPr>
        <w:spacing w:after="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B84A32" w:sz="16"/>
              <w:bottom w:val="none"/>
              <w:right w:val="none"/>
            </w:tcBorders>
            <w:shd w:fill="F7F7F9" w:val="clear"/>
            <w:tcMar>
              <w:top w:type="dxa" w:w="160"/>
              <w:left w:type="dxa" w:w="300"/>
              <w:bottom w:type="dxa" w:w="160"/>
              <w:right w:type="dxa" w:w="240"/>
            </w:tcMar>
          </w:tcPr>
          <w:p>
            <w:pPr>
              <w:spacing w:after="40" w:before="0"/>
            </w:pPr>
            <w:r>
              <w:rPr>
                <w:rFonts w:ascii="Georgia" w:cs="Georgia" w:eastAsia="Georgia" w:hAnsi="Georgia"/>
                <w:b/>
                <w:bCs/>
                <w:color w:val="C9973A"/>
                <w:sz w:val="16"/>
                <w:szCs w:val="16"/>
              </w:rPr>
              <w:t xml:space="preserve">04  </w:t>
            </w:r>
            <w:r>
              <w:rPr>
                <w:rFonts w:ascii="Georgia" w:cs="Georgia" w:eastAsia="Georgia" w:hAnsi="Georgia"/>
                <w:b/>
                <w:bCs/>
                <w:color w:val="0D1B2A"/>
                <w:sz w:val="22"/>
                <w:szCs w:val="22"/>
              </w:rPr>
              <w:t xml:space="preserve">Friction-free agent instantiation</w:t>
            </w:r>
            <w:r>
              <w:rPr>
                <w:rFonts w:ascii="Georgia" w:cs="Georgia" w:eastAsia="Georgia" w:hAnsi="Georgia"/>
                <w:i/>
                <w:iCs/>
                <w:color w:val="4A5568"/>
                <w:sz w:val="18"/>
                <w:szCs w:val="18"/>
              </w:rPr>
              <w:t xml:space="preserve">  —  Spin up correctly in minutes, not hours</w:t>
            </w:r>
          </w:p>
          <w:p>
            <w:pPr>
              <w:spacing w:after="0" w:before="0"/>
            </w:pPr>
            <w:r>
              <w:rPr>
                <w:rFonts w:ascii="Georgia" w:cs="Georgia" w:eastAsia="Georgia" w:hAnsi="Georgia"/>
                <w:color w:val="3D4852"/>
                <w:sz w:val="19"/>
                <w:szCs w:val="19"/>
              </w:rPr>
              <w:t xml:space="preserve">The pre-launch decision — whether to spin up at all, and what shape the agent should take — requires the universe model. The launch itself requires the right context, the right tools, the right skills, and the right scope injected cleanly at instantiation. If any of this requires manual assembly each time, the low transaction cost advantage that makes the whole model work gets eroded.</w:t>
            </w:r>
          </w:p>
        </w:tc>
      </w:tr>
    </w:tbl>
    <w:p>
      <w:pPr>
        <w:spacing w:after="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thick" w:color="0D1B2A" w:sz="16"/>
              <w:bottom w:val="none"/>
              <w:right w:val="none"/>
            </w:tcBorders>
            <w:shd w:fill="F7F7F9" w:val="clear"/>
            <w:tcMar>
              <w:top w:type="dxa" w:w="160"/>
              <w:left w:type="dxa" w:w="300"/>
              <w:bottom w:type="dxa" w:w="160"/>
              <w:right w:type="dxa" w:w="240"/>
            </w:tcMar>
          </w:tcPr>
          <w:p>
            <w:pPr>
              <w:spacing w:after="40" w:before="0"/>
            </w:pPr>
            <w:r>
              <w:rPr>
                <w:rFonts w:ascii="Georgia" w:cs="Georgia" w:eastAsia="Georgia" w:hAnsi="Georgia"/>
                <w:b/>
                <w:bCs/>
                <w:color w:val="C9973A"/>
                <w:sz w:val="16"/>
                <w:szCs w:val="16"/>
              </w:rPr>
              <w:t xml:space="preserve">05  </w:t>
            </w:r>
            <w:r>
              <w:rPr>
                <w:rFonts w:ascii="Georgia" w:cs="Georgia" w:eastAsia="Georgia" w:hAnsi="Georgia"/>
                <w:b/>
                <w:bCs/>
                <w:color w:val="0D1B2A"/>
                <w:sz w:val="22"/>
                <w:szCs w:val="22"/>
              </w:rPr>
              <w:t xml:space="preserve">Cognitive cost visibility</w:t>
            </w:r>
            <w:r>
              <w:rPr>
                <w:rFonts w:ascii="Georgia" w:cs="Georgia" w:eastAsia="Georgia" w:hAnsi="Georgia"/>
                <w:i/>
                <w:iCs/>
                <w:color w:val="4A5568"/>
                <w:sz w:val="18"/>
                <w:szCs w:val="18"/>
              </w:rPr>
              <w:t xml:space="preserve">  —  What is this all actually costing you</w:t>
            </w:r>
          </w:p>
          <w:p>
            <w:pPr>
              <w:spacing w:after="0" w:before="0"/>
            </w:pPr>
            <w:r>
              <w:rPr>
                <w:rFonts w:ascii="Georgia" w:cs="Georgia" w:eastAsia="Georgia" w:hAnsi="Georgia"/>
                <w:color w:val="3D4852"/>
                <w:sz w:val="19"/>
                <w:szCs w:val="19"/>
              </w:rPr>
              <w:t xml:space="preserve">Decision support requires knowing the true cost of each workstream — not just API spend but CCC: the ongoing cognitive carrying cost per agent, per project. Without this, allocation decisions are instinct-driven. With it, they become optimizable. The infrastructure has to track or estimate CCC in real time and surface it as a first-class metric alongside financial cost and return.</w:t>
            </w:r>
          </w:p>
        </w:tc>
      </w:tr>
    </w:tbl>
    <w:p>
      <w:pPr>
        <w:spacing w:after="0" w:before="200"/>
      </w:pPr>
    </w:p>
    <w:p>
      <w:pPr>
        <w:pBdr>
          <w:bottom w:val="single" w:color="CCCCCC" w:sz="4" w:space="1"/>
        </w:pBdr>
        <w:spacing w:after="0" w:before="0"/>
      </w:pPr>
    </w:p>
    <w:p>
      <w:pPr>
        <w:spacing w:after="0" w:before="160"/>
      </w:pPr>
    </w:p>
    <w:p>
      <w:pPr>
        <w:spacing w:after="60" w:before="60"/>
      </w:pPr>
      <w:r>
        <w:rPr>
          <w:rFonts w:ascii="Georgia" w:cs="Georgia" w:eastAsia="Georgia" w:hAnsi="Georgia"/>
          <w:color w:val="3D4852"/>
          <w:sz w:val="20"/>
          <w:szCs w:val="20"/>
        </w:rPr>
        <w:t xml:space="preserve">The underlying insight: </w:t>
      </w:r>
      <w:r>
        <w:rPr>
          <w:rFonts w:ascii="Georgia" w:cs="Georgia" w:eastAsia="Georgia" w:hAnsi="Georgia"/>
          <w:i/>
          <w:iCs/>
          <w:color w:val="3D4852"/>
          <w:sz w:val="20"/>
          <w:szCs w:val="20"/>
        </w:rPr>
        <w:t xml:space="preserve">the degree to which you can leverage your cognitive capital is exactly equal to the degree to which your universe is systematized and AI-legible.</w:t>
      </w:r>
      <w:r>
        <w:rPr>
          <w:rFonts w:ascii="Georgia" w:cs="Georgia" w:eastAsia="Georgia" w:hAnsi="Georgia"/>
          <w:color w:val="3D4852"/>
          <w:sz w:val="20"/>
          <w:szCs w:val="20"/>
        </w:rPr>
        <w:t xml:space="preserve"> Every CSF above is just one dimension of that systematization. The product that solves this doesn't just manage agents — it makes the operator's entire world machine-readable, and then reasons over it on their behalf.</w:t>
      </w:r>
    </w:p>
    <w:p>
      <w:pPr>
        <w:spacing w:after="0" w:before="200"/>
      </w:pPr>
    </w:p>
    <w:p>
      <w:pPr>
        <w:pBdr>
          <w:bottom w:val="single" w:color="0D1B2A" w:sz="10" w:space="1"/>
        </w:pBdr>
        <w:spacing w:after="0" w:before="0"/>
      </w:pPr>
    </w:p>
    <w:p>
      <w:pPr>
        <w:spacing w:after="0" w:before="120"/>
        <w:jc w:val="right"/>
      </w:pPr>
      <w:r>
        <w:rPr>
          <w:rFonts w:ascii="Georgia" w:cs="Georgia" w:eastAsia="Georgia" w:hAnsi="Georgia"/>
          <w:color w:val="999999"/>
          <w:sz w:val="16"/>
          <w:szCs w:val="16"/>
        </w:rPr>
        <w:t xml:space="preserve">Cognitive Leverage  ·  Infrastructure Requirements  ·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2026-04-15T12:40:17.893Z</dcterms:created>
  <dcterms:modified xsi:type="dcterms:W3CDTF">2026-04-15T12:40:17.895Z</dcterms:modified>
</cp:coreProperties>
</file>

<file path=docProps/custom.xml><?xml version="1.0" encoding="utf-8"?>
<Properties xmlns="http://schemas.openxmlformats.org/officeDocument/2006/custom-properties" xmlns:vt="http://schemas.openxmlformats.org/officeDocument/2006/docPropsVTypes"/>
</file>