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Response to Review — CSME 2026 paper</w:t>
      </w:r>
    </w:p>
    <w:p>
      <w:pPr>
        <w:spacing w:after="80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A pvlib-Based Computational Model of a Multi-Inverter Rooftop Photovoltaic Plant Driven by Public Weather Data: Sensitivity Analysis and Field Validation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C. N. Govino, W.-R. Yang — revision of 30 October 2026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sz w:val="23"/>
          <w:szCs w:val="23"/>
        </w:rPr>
        <w:t xml:space="preserve">Summary of changes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>Two new figures (plant/measurement layout; three-wire connection and phasors), two new tables (structure vs efficiency; error metrics), a converged Sobol analysis with confidence intervals, a complete lower-bound stack, an aliasing test and a long-term check against the inverter energy counters. Two conclusions changed: the budget can reach the clear-day measurement, but only at an implausible joint extreme; and over 3.5 years the counters agree with the model within 3%, so the clear-day shortfall is not a permanent plant loss.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4900"/>
        <w:gridCol w:w="1760"/>
      </w:tblGrid>
      <w:tr>
        <w:trPr>
          <w:cantSplit/>
          <w:tblHeader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Reviewer comment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Response and change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sz w:val="19"/>
                <w:szCs w:val="19"/>
              </w:rPr>
              <w:t xml:space="preserve">Where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1. Empirical validation is insufficient (about three months of data and a few short records).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Agreed; the field data remain limited and this is now stated as limitation (1). The raw Hioki recording did not run continuously, so no further measured days exist.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Added a long-term check that needs no new measurement: the lifetime energy counters of the two 50 kW inverters (1280 days since commissioning). Compared with the model for the same calendar period, the counters are 0.8% and 2.7% higher (1411 and 1437 vs 1399 kWh/kWp/yr). The counters read about 3.0% above the recorder (checked on 18 Oct 2026). Conclusion changed: the 19% clear-day shortfall is not a permanent loss; the model is suitable for annual energy but not for hourly prediction on clear days.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Suggested future data: monthly kWh of the Taipower sale meter and continuous logging.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Abstract; 4.5; 5; 6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2. Irradiance from a station 21 km away; no on-site measurement, so discrepancies cannot be attributed to plant losses.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Agreed. No pyranometer exists on the roof, so this cannot be fixed with present data. The paper now says explicitly that the model error cannot be split into an irradiance part and a plant part, and names a plane-of-array pyranometer or reference cell as the most important next step.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Mitigation already in the paper: only days with station clear-sky fraction &gt; 0.9 are used for the bias; the hour-by-hour pattern and the February/October contrast argue against a constant station bias.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2.2; 4.6; 5 (2)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3. Measurement layout is not shown; thinning 2 ms → 10 ms must be validated for aliasing of the active power.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New Fig. 1: roof blocks, strings per MPPT, the three inverters, AC panel, recorder position and grid connection.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New Fig. 2: three-wire connection of the recorder (clamps CH1, line-to-line voltages CH2) and phasor diagram explaining Eq. (1) and why Σv·i gives 1.5 P.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Aliasing: explained why the mean power is preserved (samples at five equally spaced phases; whole-cycle intervals avoided) and tested with 400 synthetic minutes built from the measured unbalance, displacement and harmonics. Max error 0.06% (10 ms) and 0.05% (20 ms); 0.12% and 0.12% even at exactly 60 Hz; 200 ms would err by up to 12%.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Note: the raw 2 ms files are not kept; if any are found, the same test can be repeated on real data with src/rev_aliasing.py adapted.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Fig. 1; Fig. 2; 2.3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4. Sobol ranking depends on ranges and distributions; show convergence, convergence testing and confidence intervals.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Table 2 now gives the range, distribution and basis of every factor and states that the ranking depends on them (the ±10% GHI case shows the shift).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Convergence: base samples raised from 1,024 to 4,096 (45,056 runs) plus five extra scrambling seeds. Total indices change by at most 0.003 (±5%) and 0.003 (±10%); seed-to-seed SD ≤ 0.002; top-five ranking stable from 64 samples. Table 2 reports S_T with 95% bootstrap confidence intervals; the last four factors have indices below 0.005 and are not ranked.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3.1; 3.2; Table 2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5. Distinguish differences in model structure from differences in assumed rated efficiency.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New Section 3.3 and Table 3. Same η: constant vs PVWatts differ by 0.36–0.37%; same peak efficiency: 0.6%; changing η from 0.985 to 0.96 within PVWatts: −2.6%. So the inverter effect in the budget is an efficiency assumption, not a structural one. On the clear October days the two structures with equal η differ by &lt; 0.1%.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3.3; Table 3; Abstract; 6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6. Clarify the 'stacked lower-bound assumption' and why options that would give lower output were excluded.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The reviewer is right: the earlier stack left out isotropic transposition (−3.9%) and Boland decomposition (−1.0%). Both are now included (Fig. 10, Table 5). With every lower end the model reaches 82.0% of baseline, i.e. the measurement (81%) is reached.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This changed the conclusion. The earlier sentence 'the remainder cannot be explained by the nine factors' was removed. New text: the budget reaches the measurement only at its joint extreme, which is implausible because (i) the isotropic model underestimates tilted irradiance on clear days [27], (ii) all lower ends together give −13.6% annually, far below the 5th percentile (−5.5%), and (iii) the same setting underestimates the clear day of 10 Feb by about 6%.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4.4; Fig. 7; Fig. 10; Table 5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7. High correlation but no accurate prediction; systematic overestimate of about 19% on clear days.</w:t>
            </w:r>
          </w:p>
        </w:tc>
        <w:tc>
          <w:tcPr>
            <w:tcW w:type="dxa" w:w="49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Agreed and stated directly: correlation shows only the shape; the level is wrong. Table 4 now gives MBE, nMBE, RMSE, nRMSE and r for all five clear-sky records (nMBE +23% and +24%, nRMSE 27% and 31% in October).</w:t>
            </w:r>
          </w:p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A leave-one-day-out test shows that a single correction factor does not transfer (factor from 17 Oct leaves −8.6% on 10 Feb and −19.7% on 7 Aug). The paper no longer claims predictive accuracy; it claims agreement in annual energy (counters) and a clear-day bias at hourly scale.</w:t>
            </w:r>
          </w:p>
        </w:tc>
        <w:tc>
          <w:tcPr>
            <w:tcW w:type="dxa" w:w="176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19"/>
                <w:szCs w:val="19"/>
              </w:rPr>
              <w:t xml:space="preserve">4.2; 4.3; Table 4; 5; 6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sz w:val="21"/>
          <w:szCs w:val="21"/>
        </w:rPr>
        <w:t xml:space="preserve"/>
      </w:r>
    </w:p>
    <w:p>
      <w:pPr>
        <w:spacing w:after="80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Code for every new number: src/rev_sobol_convergence.py, src/rev_analysis.py, src/rev_aliasing.py, src/rev_fig_*.py; collected in paper_rev/numbers.json.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2026-10-30T01:31:54.967Z</dcterms:created>
  <dcterms:modified xsi:type="dcterms:W3CDTF">2026-10-30T01:31:54.968Z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